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tcPr>
          <w:p w:rsidR="0094424E" w:rsidRPr="004F0F54" w:rsidRDefault="000529D2" w:rsidP="004F0F54">
            <w:pPr>
              <w:suppressLineNumbers/>
              <w:rPr>
                <w:rFonts w:ascii="Arial" w:hAnsi="Arial"/>
                <w:b/>
                <w:bCs/>
                <w:sz w:val="26"/>
                <w:szCs w:val="26"/>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tc>
      </w:tr>
    </w:tbl>
    <w:p w:rsidR="00694556" w:rsidRPr="00C770E3" w:rsidRDefault="00694556">
      <w:pPr>
        <w:spacing w:line="360" w:lineRule="auto"/>
        <w:jc w:val="both"/>
        <w:rPr>
          <w:rFonts w:ascii="Arial" w:hAnsi="Arial"/>
          <w:noProof w:val="0"/>
          <w:rtl/>
        </w:rPr>
      </w:pPr>
      <w:bookmarkStart w:id="0" w:name="NGCSBookmark"/>
      <w:bookmarkEnd w:id="0"/>
    </w:p>
    <w:tbl>
      <w:tblPr>
        <w:tblStyle w:val="a9"/>
        <w:bidiVisual/>
        <w:tblW w:w="91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852"/>
      </w:tblGrid>
      <w:tr w:rsidR="00E237C7" w:rsidTr="00216126">
        <w:trPr>
          <w:jc w:val="center"/>
        </w:trPr>
        <w:tc>
          <w:tcPr>
            <w:tcW w:w="3249" w:type="dxa"/>
          </w:tcPr>
          <w:p w:rsidR="00E237C7" w:rsidRDefault="00E237C7" w:rsidP="00216126">
            <w:pPr>
              <w:suppressLineNumbers/>
              <w:rPr>
                <w:rFonts w:ascii="Arial" w:hAnsi="Arial"/>
                <w:b/>
                <w:bCs/>
                <w:noProof w:val="0"/>
                <w:sz w:val="26"/>
                <w:szCs w:val="26"/>
              </w:rPr>
            </w:pPr>
          </w:p>
          <w:sdt>
            <w:sdtPr>
              <w:rPr>
                <w:b/>
                <w:bCs/>
                <w:sz w:val="26"/>
                <w:szCs w:val="26"/>
                <w:rtl/>
              </w:rPr>
              <w:alias w:val="1180"/>
              <w:tag w:val="1180"/>
              <w:id w:val="-1219513125"/>
              <w:text w:multiLine="1"/>
            </w:sdtPr>
            <w:sdtEndPr/>
            <w:sdtContent>
              <w:p w:rsidR="00E237C7" w:rsidRDefault="00E237C7" w:rsidP="00216126">
                <w:pPr>
                  <w:suppressLineNumbers/>
                  <w:rPr>
                    <w:rFonts w:ascii="Arial" w:hAnsi="Arial"/>
                    <w:b/>
                    <w:bCs/>
                    <w:noProof w:val="0"/>
                    <w:sz w:val="26"/>
                    <w:szCs w:val="26"/>
                    <w:rtl/>
                  </w:rPr>
                </w:pPr>
                <w:r w:rsidRPr="008750ED">
                  <w:rPr>
                    <w:rFonts w:ascii="Arial" w:hAnsi="Arial" w:hint="cs"/>
                    <w:b/>
                    <w:bCs/>
                    <w:noProof w:val="0"/>
                    <w:sz w:val="26"/>
                    <w:szCs w:val="26"/>
                    <w:rtl/>
                  </w:rPr>
                  <w:t>מבקש</w:t>
                </w:r>
                <w:r w:rsidRPr="008750ED">
                  <w:rPr>
                    <w:rFonts w:hint="cs"/>
                    <w:b/>
                    <w:bCs/>
                    <w:sz w:val="26"/>
                    <w:szCs w:val="26"/>
                    <w:rtl/>
                  </w:rPr>
                  <w:t>ת</w:t>
                </w:r>
              </w:p>
            </w:sdtContent>
          </w:sdt>
        </w:tc>
        <w:tc>
          <w:tcPr>
            <w:tcW w:w="5852" w:type="dxa"/>
          </w:tcPr>
          <w:p w:rsidR="00E237C7" w:rsidRDefault="00E237C7" w:rsidP="00216126">
            <w:pPr>
              <w:suppressLineNumbers/>
              <w:rPr>
                <w:rFonts w:ascii="Arial" w:hAnsi="Arial"/>
                <w:b/>
                <w:bCs/>
                <w:noProof w:val="0"/>
                <w:sz w:val="26"/>
                <w:szCs w:val="26"/>
                <w:rtl/>
              </w:rPr>
            </w:pPr>
          </w:p>
          <w:p w:rsidR="00E237C7" w:rsidRDefault="00F32B9C" w:rsidP="00216126">
            <w:pPr>
              <w:spacing w:line="360" w:lineRule="auto"/>
              <w:rPr>
                <w:b/>
                <w:bCs/>
                <w:sz w:val="26"/>
                <w:szCs w:val="26"/>
                <w:rtl/>
              </w:rPr>
            </w:pPr>
            <w:r>
              <w:rPr>
                <w:rFonts w:hint="cs"/>
                <w:b/>
                <w:bCs/>
                <w:sz w:val="26"/>
                <w:szCs w:val="26"/>
                <w:rtl/>
              </w:rPr>
              <w:t>ע. ש. א</w:t>
            </w:r>
          </w:p>
          <w:p w:rsidR="00E237C7" w:rsidRDefault="00E237C7" w:rsidP="00216126">
            <w:pPr>
              <w:spacing w:after="240" w:line="360" w:lineRule="auto"/>
              <w:rPr>
                <w:b/>
                <w:bCs/>
                <w:noProof w:val="0"/>
                <w:sz w:val="26"/>
                <w:szCs w:val="26"/>
              </w:rPr>
            </w:pPr>
            <w:r>
              <w:rPr>
                <w:b/>
                <w:bCs/>
                <w:sz w:val="26"/>
                <w:szCs w:val="26"/>
                <w:rtl/>
              </w:rPr>
              <w:t xml:space="preserve">ע"י ב"כ עו"ד </w:t>
            </w:r>
            <w:r>
              <w:rPr>
                <w:rFonts w:hint="cs"/>
                <w:b/>
                <w:bCs/>
                <w:sz w:val="26"/>
                <w:szCs w:val="26"/>
                <w:rtl/>
              </w:rPr>
              <w:t>מורן סמון</w:t>
            </w:r>
          </w:p>
        </w:tc>
      </w:tr>
      <w:tr w:rsidR="00E237C7" w:rsidTr="00216126">
        <w:trPr>
          <w:jc w:val="center"/>
        </w:trPr>
        <w:tc>
          <w:tcPr>
            <w:tcW w:w="9101" w:type="dxa"/>
            <w:gridSpan w:val="2"/>
          </w:tcPr>
          <w:p w:rsidR="00E237C7" w:rsidRDefault="00E237C7" w:rsidP="00216126">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E237C7" w:rsidRDefault="00E237C7" w:rsidP="00216126">
            <w:pPr>
              <w:suppressLineNumbers/>
              <w:rPr>
                <w:rFonts w:ascii="Arial" w:hAnsi="Arial"/>
                <w:b/>
                <w:bCs/>
                <w:noProof w:val="0"/>
                <w:sz w:val="26"/>
                <w:szCs w:val="26"/>
              </w:rPr>
            </w:pPr>
          </w:p>
        </w:tc>
      </w:tr>
      <w:tr w:rsidR="00E237C7" w:rsidTr="00216126">
        <w:trPr>
          <w:jc w:val="center"/>
        </w:trPr>
        <w:tc>
          <w:tcPr>
            <w:tcW w:w="3249" w:type="dxa"/>
          </w:tcPr>
          <w:p w:rsidR="00E237C7" w:rsidRDefault="001A4878" w:rsidP="00216126">
            <w:pPr>
              <w:suppressLineNumbers/>
              <w:spacing w:after="120"/>
              <w:rPr>
                <w:rFonts w:ascii="Arial" w:hAnsi="Arial"/>
                <w:b/>
                <w:bCs/>
                <w:noProof w:val="0"/>
                <w:sz w:val="26"/>
                <w:szCs w:val="26"/>
              </w:rPr>
            </w:pPr>
            <w:sdt>
              <w:sdtPr>
                <w:rPr>
                  <w:b/>
                  <w:bCs/>
                  <w:rtl/>
                </w:rPr>
                <w:alias w:val="1184"/>
                <w:tag w:val="1184"/>
                <w:id w:val="-1892566444"/>
                <w:text w:multiLine="1"/>
              </w:sdtPr>
              <w:sdtEndPr/>
              <w:sdtContent>
                <w:r w:rsidR="00E237C7" w:rsidRPr="002952DC">
                  <w:rPr>
                    <w:rFonts w:ascii="Arial" w:hAnsi="Arial"/>
                    <w:b/>
                    <w:bCs/>
                    <w:noProof w:val="0"/>
                    <w:sz w:val="26"/>
                    <w:szCs w:val="26"/>
                    <w:rtl/>
                  </w:rPr>
                  <w:t>משיב</w:t>
                </w:r>
              </w:sdtContent>
            </w:sdt>
          </w:p>
        </w:tc>
        <w:tc>
          <w:tcPr>
            <w:tcW w:w="5852" w:type="dxa"/>
          </w:tcPr>
          <w:p w:rsidR="00E237C7" w:rsidRPr="00E54CD9" w:rsidRDefault="001A4878" w:rsidP="00F32B9C">
            <w:pPr>
              <w:suppressLineNumbers/>
              <w:spacing w:line="360" w:lineRule="auto"/>
              <w:rPr>
                <w:rFonts w:ascii="Arial" w:hAnsi="Arial"/>
                <w:b/>
                <w:bCs/>
                <w:noProof w:val="0"/>
                <w:sz w:val="26"/>
                <w:szCs w:val="26"/>
                <w:rtl/>
              </w:rPr>
            </w:pPr>
            <w:sdt>
              <w:sdtPr>
                <w:rPr>
                  <w:b/>
                  <w:bCs/>
                  <w:sz w:val="26"/>
                  <w:szCs w:val="26"/>
                  <w:rtl/>
                </w:rPr>
                <w:alias w:val="1571"/>
                <w:tag w:val="1571"/>
                <w:id w:val="1028836282"/>
                <w:text w:multiLine="1"/>
              </w:sdtPr>
              <w:sdtEndPr/>
              <w:sdtContent>
                <w:r w:rsidR="00F32B9C">
                  <w:rPr>
                    <w:rFonts w:hint="cs"/>
                    <w:b/>
                    <w:bCs/>
                    <w:sz w:val="26"/>
                    <w:szCs w:val="26"/>
                    <w:rtl/>
                  </w:rPr>
                  <w:t>ד. א</w:t>
                </w:r>
                <w:r w:rsidR="00E237C7">
                  <w:rPr>
                    <w:b/>
                    <w:bCs/>
                    <w:sz w:val="26"/>
                    <w:szCs w:val="26"/>
                    <w:rtl/>
                  </w:rPr>
                  <w:br/>
                </w:r>
                <w:r w:rsidR="00E237C7">
                  <w:rPr>
                    <w:rFonts w:hint="cs"/>
                    <w:b/>
                    <w:bCs/>
                    <w:sz w:val="26"/>
                    <w:szCs w:val="26"/>
                    <w:rtl/>
                  </w:rPr>
                  <w:t>ע"י ב"כ עו"ד עמוס צדיקה</w:t>
                </w:r>
              </w:sdtContent>
            </w:sdt>
          </w:p>
        </w:tc>
      </w:tr>
      <w:tr w:rsidR="00E237C7" w:rsidTr="00216126">
        <w:trPr>
          <w:jc w:val="center"/>
        </w:trPr>
        <w:tc>
          <w:tcPr>
            <w:tcW w:w="3249" w:type="dxa"/>
          </w:tcPr>
          <w:p w:rsidR="00E237C7" w:rsidRDefault="00E237C7" w:rsidP="00216126">
            <w:pPr>
              <w:rPr>
                <w:rFonts w:ascii="David" w:eastAsia="David" w:hAnsi="David"/>
                <w:noProof w:val="0"/>
              </w:rPr>
            </w:pPr>
          </w:p>
        </w:tc>
        <w:tc>
          <w:tcPr>
            <w:tcW w:w="5852" w:type="dxa"/>
          </w:tcPr>
          <w:p w:rsidR="00E237C7" w:rsidRDefault="00E237C7" w:rsidP="00216126">
            <w:pPr>
              <w:rPr>
                <w:b/>
                <w:bCs/>
                <w:sz w:val="26"/>
                <w:szCs w:val="26"/>
              </w:rPr>
            </w:pPr>
          </w:p>
        </w:tc>
      </w:tr>
      <w:tr w:rsidR="00E237C7" w:rsidTr="00216126">
        <w:trPr>
          <w:jc w:val="center"/>
        </w:trPr>
        <w:tc>
          <w:tcPr>
            <w:tcW w:w="9101" w:type="dxa"/>
            <w:gridSpan w:val="2"/>
          </w:tcPr>
          <w:p w:rsidR="00E237C7" w:rsidRDefault="00E237C7" w:rsidP="00216126">
            <w:pPr>
              <w:suppressLineNumbers/>
              <w:rPr>
                <w:rFonts w:ascii="Arial" w:hAnsi="Arial"/>
                <w:b/>
                <w:bCs/>
                <w:noProof w:val="0"/>
                <w:sz w:val="26"/>
                <w:szCs w:val="26"/>
                <w:rtl/>
              </w:rPr>
            </w:pPr>
          </w:p>
        </w:tc>
      </w:tr>
      <w:tr w:rsidR="00E237C7" w:rsidRPr="00DE1E7D" w:rsidTr="00216126">
        <w:trPr>
          <w:jc w:val="center"/>
        </w:trPr>
        <w:tc>
          <w:tcPr>
            <w:tcW w:w="9101" w:type="dxa"/>
            <w:gridSpan w:val="2"/>
          </w:tcPr>
          <w:p w:rsidR="00E237C7" w:rsidRDefault="00E237C7" w:rsidP="00216126">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E237C7" w:rsidRPr="00D44968" w:rsidRDefault="00E237C7" w:rsidP="00216126">
            <w:pPr>
              <w:bidi w:val="0"/>
              <w:jc w:val="center"/>
              <w:rPr>
                <w:rFonts w:ascii="Arial" w:hAnsi="Arial"/>
                <w:b/>
                <w:bCs/>
                <w:noProof w:val="0"/>
                <w:sz w:val="28"/>
                <w:szCs w:val="28"/>
                <w:u w:val="single"/>
              </w:rPr>
            </w:pPr>
          </w:p>
        </w:tc>
      </w:tr>
    </w:tbl>
    <w:p w:rsidR="00E237C7" w:rsidRDefault="00E237C7" w:rsidP="00E237C7">
      <w:pPr>
        <w:spacing w:after="120" w:line="360" w:lineRule="auto"/>
        <w:ind w:left="567" w:hanging="567"/>
        <w:jc w:val="both"/>
        <w:rPr>
          <w:rtl/>
        </w:rPr>
      </w:pPr>
      <w:r>
        <w:rPr>
          <w:rtl/>
        </w:rPr>
        <w:t>1.</w:t>
      </w:r>
      <w:r>
        <w:rPr>
          <w:rtl/>
        </w:rPr>
        <w:tab/>
        <w:t xml:space="preserve">לפני ערעור על </w:t>
      </w:r>
      <w:r>
        <w:rPr>
          <w:rFonts w:hint="cs"/>
          <w:rtl/>
        </w:rPr>
        <w:t xml:space="preserve">שתי </w:t>
      </w:r>
      <w:r>
        <w:rPr>
          <w:rtl/>
        </w:rPr>
        <w:t>החלט</w:t>
      </w:r>
      <w:r>
        <w:rPr>
          <w:rFonts w:hint="cs"/>
          <w:rtl/>
        </w:rPr>
        <w:t>ו</w:t>
      </w:r>
      <w:r>
        <w:rPr>
          <w:rtl/>
        </w:rPr>
        <w:t xml:space="preserve">ת בית המשפט לענייני משפחה </w:t>
      </w:r>
      <w:r>
        <w:rPr>
          <w:rFonts w:hint="cs"/>
          <w:rtl/>
        </w:rPr>
        <w:t>בחיפה</w:t>
      </w:r>
      <w:r>
        <w:rPr>
          <w:rtl/>
        </w:rPr>
        <w:t xml:space="preserve"> (כב' השופט</w:t>
      </w:r>
      <w:r>
        <w:rPr>
          <w:rFonts w:hint="cs"/>
          <w:rtl/>
        </w:rPr>
        <w:t>ת הבכירה</w:t>
      </w:r>
      <w:r>
        <w:rPr>
          <w:rtl/>
        </w:rPr>
        <w:t xml:space="preserve"> </w:t>
      </w:r>
      <w:r>
        <w:rPr>
          <w:rFonts w:hint="cs"/>
          <w:rtl/>
        </w:rPr>
        <w:t>שושנה ברגר</w:t>
      </w:r>
      <w:r>
        <w:rPr>
          <w:rtl/>
        </w:rPr>
        <w:t>) בתיק ת</w:t>
      </w:r>
      <w:r>
        <w:rPr>
          <w:rFonts w:hint="cs"/>
          <w:rtl/>
        </w:rPr>
        <w:t>מ"ש</w:t>
      </w:r>
      <w:r>
        <w:rPr>
          <w:rtl/>
        </w:rPr>
        <w:t xml:space="preserve"> </w:t>
      </w:r>
      <w:r>
        <w:rPr>
          <w:rFonts w:hint="cs"/>
          <w:rtl/>
        </w:rPr>
        <w:t>39949</w:t>
      </w:r>
      <w:r>
        <w:rPr>
          <w:rtl/>
        </w:rPr>
        <w:t>-</w:t>
      </w:r>
      <w:r>
        <w:rPr>
          <w:rFonts w:hint="cs"/>
          <w:rtl/>
        </w:rPr>
        <w:t>03</w:t>
      </w:r>
      <w:r>
        <w:rPr>
          <w:rtl/>
        </w:rPr>
        <w:t>-</w:t>
      </w:r>
      <w:r>
        <w:rPr>
          <w:rFonts w:hint="cs"/>
          <w:rtl/>
        </w:rPr>
        <w:t>12</w:t>
      </w:r>
      <w:r>
        <w:rPr>
          <w:rtl/>
        </w:rPr>
        <w:t xml:space="preserve"> (להלן:</w:t>
      </w:r>
      <w:r>
        <w:rPr>
          <w:rFonts w:hint="cs"/>
          <w:rtl/>
        </w:rPr>
        <w:t xml:space="preserve"> </w:t>
      </w:r>
      <w:r>
        <w:rPr>
          <w:rtl/>
        </w:rPr>
        <w:t>"</w:t>
      </w:r>
      <w:r>
        <w:rPr>
          <w:b/>
          <w:bCs/>
          <w:rtl/>
        </w:rPr>
        <w:t>התיק קמא</w:t>
      </w:r>
      <w:r>
        <w:rPr>
          <w:rtl/>
        </w:rPr>
        <w:t>"</w:t>
      </w:r>
      <w:r>
        <w:rPr>
          <w:rFonts w:hint="cs"/>
          <w:rtl/>
        </w:rPr>
        <w:t xml:space="preserve">). האחת </w:t>
      </w:r>
      <w:r>
        <w:rPr>
          <w:rtl/>
        </w:rPr>
        <w:t xml:space="preserve">מיום </w:t>
      </w:r>
      <w:r>
        <w:rPr>
          <w:rFonts w:hint="cs"/>
          <w:rtl/>
        </w:rPr>
        <w:t>5</w:t>
      </w:r>
      <w:r>
        <w:rPr>
          <w:rtl/>
        </w:rPr>
        <w:t>.</w:t>
      </w:r>
      <w:r>
        <w:rPr>
          <w:rFonts w:hint="cs"/>
          <w:rtl/>
        </w:rPr>
        <w:t>7</w:t>
      </w:r>
      <w:r>
        <w:rPr>
          <w:rtl/>
        </w:rPr>
        <w:t xml:space="preserve">.2023 במסגרתה </w:t>
      </w:r>
      <w:r>
        <w:rPr>
          <w:rFonts w:hint="cs"/>
          <w:rtl/>
        </w:rPr>
        <w:t>ניתנה החלטת ביניים המורה לצדדים להשלים את שכר טרחת המומחה, והשנייה החלטת ביניים מיום 14.8.23 שדחתה את בקשת המבקשת לצרף לפסיקתא את החברות של המשיב, והכל כפי שיפורט להלן.</w:t>
      </w:r>
    </w:p>
    <w:p w:rsidR="00E237C7" w:rsidRDefault="00E237C7" w:rsidP="00E237C7">
      <w:pPr>
        <w:spacing w:after="120" w:line="360" w:lineRule="auto"/>
        <w:jc w:val="both"/>
        <w:rPr>
          <w:rtl/>
        </w:rPr>
      </w:pPr>
    </w:p>
    <w:p w:rsidR="00E237C7" w:rsidRDefault="00E237C7" w:rsidP="00E237C7">
      <w:pPr>
        <w:spacing w:after="120" w:line="360" w:lineRule="auto"/>
        <w:jc w:val="both"/>
        <w:rPr>
          <w:b/>
          <w:bCs/>
          <w:u w:val="single"/>
          <w:rtl/>
        </w:rPr>
      </w:pPr>
      <w:r>
        <w:rPr>
          <w:b/>
          <w:bCs/>
          <w:u w:val="single"/>
          <w:rtl/>
        </w:rPr>
        <w:t>רקע בקליפת אגוז</w:t>
      </w:r>
    </w:p>
    <w:p w:rsidR="00E237C7" w:rsidRDefault="00E237C7" w:rsidP="00E237C7">
      <w:pPr>
        <w:pStyle w:val="David"/>
        <w:spacing w:after="120"/>
        <w:ind w:left="567" w:hanging="567"/>
        <w:rPr>
          <w:rtl/>
        </w:rPr>
      </w:pPr>
      <w:r>
        <w:rPr>
          <w:rtl/>
        </w:rPr>
        <w:t>2.</w:t>
      </w:r>
      <w:r>
        <w:rPr>
          <w:rtl/>
        </w:rPr>
        <w:tab/>
      </w:r>
      <w:r>
        <w:rPr>
          <w:rFonts w:hint="cs"/>
          <w:rtl/>
        </w:rPr>
        <w:t>המבקשת והמשיב (ביחד יכונו "</w:t>
      </w:r>
      <w:r w:rsidRPr="009D05D0">
        <w:rPr>
          <w:rFonts w:hint="cs"/>
          <w:b/>
          <w:bCs/>
          <w:rtl/>
        </w:rPr>
        <w:t>הצדדים</w:t>
      </w:r>
      <w:r>
        <w:rPr>
          <w:rFonts w:hint="cs"/>
          <w:rtl/>
        </w:rPr>
        <w:t>")</w:t>
      </w:r>
      <w:r>
        <w:rPr>
          <w:rtl/>
        </w:rPr>
        <w:t xml:space="preserve"> </w:t>
      </w:r>
      <w:r>
        <w:rPr>
          <w:rFonts w:hint="cs"/>
          <w:rtl/>
        </w:rPr>
        <w:t xml:space="preserve">נישאו זל"ז כדמו"י בשנת 2004 והביאו לעולם שני קטינים, ילידי 2006 ו-2009. לימים עלה הקשר הזוגי על שרטון והצדדים נפרדו ופתחו בהליכים משפטיים בשנת 2012. </w:t>
      </w:r>
    </w:p>
    <w:p w:rsidR="00E237C7" w:rsidRDefault="00E237C7" w:rsidP="00132244">
      <w:pPr>
        <w:pStyle w:val="David"/>
        <w:spacing w:after="120"/>
        <w:ind w:left="567" w:hanging="567"/>
        <w:rPr>
          <w:rtl/>
        </w:rPr>
      </w:pPr>
      <w:r>
        <w:rPr>
          <w:rtl/>
        </w:rPr>
        <w:tab/>
      </w:r>
      <w:r>
        <w:rPr>
          <w:rFonts w:hint="cs"/>
          <w:rtl/>
        </w:rPr>
        <w:t xml:space="preserve">הצדדים התגרשו ביום </w:t>
      </w:r>
      <w:r w:rsidR="00132244">
        <w:rPr>
          <w:rFonts w:hint="cs"/>
          <w:rtl/>
        </w:rPr>
        <w:t>[2015]</w:t>
      </w:r>
      <w:r>
        <w:rPr>
          <w:rFonts w:hint="cs"/>
          <w:rtl/>
        </w:rPr>
        <w:t xml:space="preserve"> ומועד הקרע עליו הסכימו הצדדים הוא 22.3.2012 (מועד הגשת התביעות קמא).</w:t>
      </w:r>
    </w:p>
    <w:p w:rsidR="00E237C7" w:rsidRDefault="00E237C7" w:rsidP="00132244">
      <w:pPr>
        <w:pStyle w:val="David"/>
        <w:spacing w:after="120"/>
        <w:ind w:left="567" w:hanging="567"/>
        <w:rPr>
          <w:rtl/>
        </w:rPr>
      </w:pPr>
      <w:r>
        <w:rPr>
          <w:rFonts w:hint="cs"/>
          <w:rtl/>
        </w:rPr>
        <w:t>3.</w:t>
      </w:r>
      <w:r>
        <w:rPr>
          <w:rFonts w:hint="cs"/>
          <w:rtl/>
        </w:rPr>
        <w:tab/>
        <w:t>המבקשת</w:t>
      </w:r>
      <w:r>
        <w:rPr>
          <w:rtl/>
        </w:rPr>
        <w:t xml:space="preserve"> עובדת כעצמאית בתחום </w:t>
      </w:r>
      <w:r w:rsidR="00132244">
        <w:rPr>
          <w:rFonts w:hint="cs"/>
          <w:rtl/>
        </w:rPr>
        <w:t xml:space="preserve">ה.... </w:t>
      </w:r>
      <w:r>
        <w:rPr>
          <w:rtl/>
        </w:rPr>
        <w:t>.</w:t>
      </w:r>
    </w:p>
    <w:p w:rsidR="00132244" w:rsidRDefault="00E237C7" w:rsidP="00132244">
      <w:pPr>
        <w:pStyle w:val="David"/>
        <w:spacing w:after="120"/>
        <w:ind w:left="567" w:hanging="567"/>
        <w:rPr>
          <w:rtl/>
        </w:rPr>
      </w:pPr>
      <w:r>
        <w:rPr>
          <w:rtl/>
        </w:rPr>
        <w:tab/>
      </w:r>
      <w:r>
        <w:rPr>
          <w:rFonts w:hint="cs"/>
          <w:rtl/>
        </w:rPr>
        <w:t>המשיב</w:t>
      </w:r>
      <w:r>
        <w:rPr>
          <w:rtl/>
        </w:rPr>
        <w:t xml:space="preserve"> עובד גם כן כעצמאי, ובבעלותו </w:t>
      </w:r>
      <w:r>
        <w:rPr>
          <w:rFonts w:hint="cs"/>
          <w:rtl/>
        </w:rPr>
        <w:t xml:space="preserve">היו </w:t>
      </w:r>
      <w:r>
        <w:rPr>
          <w:rtl/>
        </w:rPr>
        <w:t xml:space="preserve">שתי חברות </w:t>
      </w:r>
      <w:r w:rsidR="00132244">
        <w:rPr>
          <w:rFonts w:hint="cs"/>
          <w:rtl/>
        </w:rPr>
        <w:t>ל ....</w:t>
      </w:r>
      <w:r w:rsidR="00132244">
        <w:rPr>
          <w:rtl/>
        </w:rPr>
        <w:t>: האחת, חברת "ס</w:t>
      </w:r>
      <w:r w:rsidR="00132244">
        <w:rPr>
          <w:rFonts w:hint="cs"/>
          <w:rtl/>
        </w:rPr>
        <w:t xml:space="preserve">' </w:t>
      </w:r>
      <w:r>
        <w:rPr>
          <w:rtl/>
        </w:rPr>
        <w:t>" שהוקמה עובר לנישואי הצדדים (בשנת 1998)</w:t>
      </w:r>
      <w:r>
        <w:rPr>
          <w:rFonts w:hint="cs"/>
          <w:rtl/>
        </w:rPr>
        <w:t xml:space="preserve">, </w:t>
      </w:r>
      <w:r>
        <w:rPr>
          <w:rtl/>
        </w:rPr>
        <w:t xml:space="preserve">פעילה כחברה בע"מ משנת 1999 ועוסקת </w:t>
      </w:r>
      <w:r w:rsidR="00132244">
        <w:rPr>
          <w:rFonts w:hint="cs"/>
          <w:rtl/>
        </w:rPr>
        <w:t xml:space="preserve">ב... </w:t>
      </w:r>
      <w:r>
        <w:rPr>
          <w:rtl/>
        </w:rPr>
        <w:t>(להלן: "</w:t>
      </w:r>
      <w:r w:rsidRPr="0067237E">
        <w:rPr>
          <w:b/>
          <w:bCs/>
          <w:rtl/>
        </w:rPr>
        <w:t xml:space="preserve">חברת </w:t>
      </w:r>
      <w:r w:rsidR="00132244">
        <w:rPr>
          <w:rFonts w:hint="cs"/>
          <w:b/>
          <w:bCs/>
          <w:rtl/>
        </w:rPr>
        <w:t xml:space="preserve">ס' </w:t>
      </w:r>
      <w:r>
        <w:rPr>
          <w:rtl/>
        </w:rPr>
        <w:t>")</w:t>
      </w:r>
      <w:r>
        <w:rPr>
          <w:rFonts w:hint="cs"/>
          <w:rtl/>
        </w:rPr>
        <w:t>;</w:t>
      </w:r>
      <w:r w:rsidR="00132244">
        <w:rPr>
          <w:rtl/>
        </w:rPr>
        <w:t xml:space="preserve"> והשנייה, חברת "ו</w:t>
      </w:r>
      <w:r w:rsidR="00132244">
        <w:rPr>
          <w:rFonts w:hint="cs"/>
          <w:rtl/>
        </w:rPr>
        <w:t xml:space="preserve">' </w:t>
      </w:r>
      <w:r>
        <w:rPr>
          <w:rtl/>
        </w:rPr>
        <w:t xml:space="preserve">" אשר הוקמה על ידי </w:t>
      </w:r>
      <w:r>
        <w:rPr>
          <w:rFonts w:hint="cs"/>
          <w:rtl/>
        </w:rPr>
        <w:t>המשיב</w:t>
      </w:r>
      <w:r>
        <w:rPr>
          <w:rtl/>
        </w:rPr>
        <w:t xml:space="preserve"> במהלך חיי הנישואין (בשנת 2010) יחד עם שותף</w:t>
      </w:r>
      <w:r>
        <w:rPr>
          <w:rFonts w:hint="cs"/>
          <w:rtl/>
        </w:rPr>
        <w:t xml:space="preserve">, </w:t>
      </w:r>
      <w:r>
        <w:rPr>
          <w:rtl/>
        </w:rPr>
        <w:t>וע</w:t>
      </w:r>
      <w:r>
        <w:rPr>
          <w:rFonts w:hint="cs"/>
          <w:rtl/>
        </w:rPr>
        <w:t>סקה</w:t>
      </w:r>
      <w:r>
        <w:rPr>
          <w:rtl/>
        </w:rPr>
        <w:t xml:space="preserve"> </w:t>
      </w:r>
      <w:r w:rsidR="00132244">
        <w:rPr>
          <w:rFonts w:hint="cs"/>
          <w:rtl/>
        </w:rPr>
        <w:t>ב ...</w:t>
      </w:r>
      <w:r>
        <w:rPr>
          <w:rtl/>
        </w:rPr>
        <w:t xml:space="preserve"> (להלן: "</w:t>
      </w:r>
      <w:r w:rsidRPr="0067237E">
        <w:rPr>
          <w:b/>
          <w:bCs/>
          <w:rtl/>
        </w:rPr>
        <w:t xml:space="preserve">חברת </w:t>
      </w:r>
      <w:r w:rsidR="00132244">
        <w:rPr>
          <w:rFonts w:hint="cs"/>
          <w:b/>
          <w:bCs/>
          <w:rtl/>
        </w:rPr>
        <w:t xml:space="preserve">ו' </w:t>
      </w:r>
      <w:r>
        <w:rPr>
          <w:rtl/>
        </w:rPr>
        <w:t>").</w:t>
      </w:r>
    </w:p>
    <w:p w:rsidR="00E237C7" w:rsidRDefault="00E237C7" w:rsidP="00132244">
      <w:pPr>
        <w:pStyle w:val="David"/>
        <w:spacing w:after="120"/>
        <w:ind w:left="567" w:hanging="567"/>
        <w:rPr>
          <w:rtl/>
        </w:rPr>
      </w:pPr>
      <w:r>
        <w:rPr>
          <w:rtl/>
        </w:rPr>
        <w:tab/>
      </w:r>
      <w:r>
        <w:rPr>
          <w:rFonts w:hint="cs"/>
          <w:rtl/>
        </w:rPr>
        <w:t xml:space="preserve">חברת </w:t>
      </w:r>
      <w:r w:rsidR="00132244">
        <w:rPr>
          <w:rFonts w:hint="cs"/>
          <w:rtl/>
        </w:rPr>
        <w:t>ס'</w:t>
      </w:r>
      <w:r>
        <w:rPr>
          <w:rtl/>
        </w:rPr>
        <w:t xml:space="preserve"> הינה חברה פעילה, כאשר לטענת </w:t>
      </w:r>
      <w:r>
        <w:rPr>
          <w:rFonts w:hint="cs"/>
          <w:rtl/>
        </w:rPr>
        <w:t>המשיב</w:t>
      </w:r>
      <w:r>
        <w:rPr>
          <w:rtl/>
        </w:rPr>
        <w:t xml:space="preserve">, </w:t>
      </w:r>
      <w:r>
        <w:rPr>
          <w:rFonts w:hint="cs"/>
          <w:rtl/>
        </w:rPr>
        <w:t xml:space="preserve">חברת </w:t>
      </w:r>
      <w:r w:rsidR="00132244">
        <w:rPr>
          <w:rFonts w:hint="cs"/>
          <w:rtl/>
        </w:rPr>
        <w:t>ו'</w:t>
      </w:r>
      <w:r>
        <w:rPr>
          <w:rtl/>
        </w:rPr>
        <w:t xml:space="preserve"> חדלה לפעול החל מיום</w:t>
      </w:r>
      <w:r w:rsidR="00132244">
        <w:rPr>
          <w:rFonts w:hint="cs"/>
          <w:rtl/>
        </w:rPr>
        <w:t xml:space="preserve"> [2015].</w:t>
      </w:r>
    </w:p>
    <w:p w:rsidR="00132244" w:rsidRDefault="00132244" w:rsidP="00132244">
      <w:pPr>
        <w:pStyle w:val="David"/>
        <w:spacing w:after="120"/>
        <w:ind w:left="567" w:hanging="567"/>
        <w:rPr>
          <w:rtl/>
        </w:rPr>
      </w:pPr>
    </w:p>
    <w:p w:rsidR="00132244" w:rsidRDefault="00132244" w:rsidP="00132244">
      <w:pPr>
        <w:pStyle w:val="David"/>
        <w:spacing w:after="120"/>
        <w:ind w:left="567" w:hanging="567"/>
        <w:rPr>
          <w:rtl/>
        </w:rPr>
      </w:pPr>
    </w:p>
    <w:p w:rsidR="00E237C7" w:rsidRDefault="00E237C7" w:rsidP="00E237C7">
      <w:pPr>
        <w:pStyle w:val="David"/>
        <w:spacing w:after="120"/>
        <w:ind w:left="567" w:hanging="567"/>
        <w:rPr>
          <w:rtl/>
        </w:rPr>
      </w:pPr>
    </w:p>
    <w:p w:rsidR="00E237C7" w:rsidRPr="00971084" w:rsidRDefault="00E237C7" w:rsidP="00E237C7">
      <w:pPr>
        <w:pStyle w:val="David"/>
        <w:spacing w:after="120"/>
        <w:ind w:left="567" w:hanging="567"/>
        <w:rPr>
          <w:b/>
          <w:bCs/>
          <w:u w:val="single"/>
          <w:rtl/>
        </w:rPr>
      </w:pPr>
      <w:r w:rsidRPr="00971084">
        <w:rPr>
          <w:rFonts w:hint="cs"/>
          <w:b/>
          <w:bCs/>
          <w:u w:val="single"/>
          <w:rtl/>
        </w:rPr>
        <w:lastRenderedPageBreak/>
        <w:t>ההחלטה מיום 5.7.23</w:t>
      </w:r>
    </w:p>
    <w:p w:rsidR="00E237C7" w:rsidRDefault="00E237C7" w:rsidP="00132244">
      <w:pPr>
        <w:pStyle w:val="David"/>
        <w:spacing w:after="120"/>
        <w:ind w:left="567" w:hanging="567"/>
        <w:rPr>
          <w:rtl/>
        </w:rPr>
      </w:pPr>
      <w:r>
        <w:rPr>
          <w:rFonts w:hint="cs"/>
          <w:rtl/>
        </w:rPr>
        <w:t>4.</w:t>
      </w:r>
      <w:r>
        <w:rPr>
          <w:rFonts w:hint="cs"/>
          <w:rtl/>
        </w:rPr>
        <w:tab/>
        <w:t>במסגרת התיק קמא, מונה ביום 14.12.2018</w:t>
      </w:r>
      <w:r>
        <w:rPr>
          <w:rtl/>
        </w:rPr>
        <w:t xml:space="preserve"> מר יגאל טולדנו, רו"ח (משפטן) כמומחה כלכלי וחשבונאי מטעם בית המשפט</w:t>
      </w:r>
      <w:r>
        <w:rPr>
          <w:rFonts w:hint="cs"/>
          <w:rtl/>
        </w:rPr>
        <w:t xml:space="preserve"> (להלן: "</w:t>
      </w:r>
      <w:r w:rsidRPr="00097732">
        <w:rPr>
          <w:rFonts w:hint="cs"/>
          <w:b/>
          <w:bCs/>
          <w:rtl/>
        </w:rPr>
        <w:t>המומחה</w:t>
      </w:r>
      <w:r>
        <w:rPr>
          <w:rFonts w:hint="cs"/>
          <w:rtl/>
        </w:rPr>
        <w:t>")</w:t>
      </w:r>
      <w:r>
        <w:rPr>
          <w:rtl/>
        </w:rPr>
        <w:t xml:space="preserve">, </w:t>
      </w:r>
      <w:r>
        <w:rPr>
          <w:rFonts w:hint="cs"/>
          <w:rtl/>
        </w:rPr>
        <w:t xml:space="preserve">בין היתר </w:t>
      </w:r>
      <w:r>
        <w:rPr>
          <w:rtl/>
        </w:rPr>
        <w:t xml:space="preserve">לשם בדיקת שווי החברות שבבעלות </w:t>
      </w:r>
      <w:r>
        <w:rPr>
          <w:rFonts w:hint="cs"/>
          <w:rtl/>
        </w:rPr>
        <w:t xml:space="preserve">המשיב </w:t>
      </w:r>
      <w:r>
        <w:rPr>
          <w:rtl/>
        </w:rPr>
        <w:t xml:space="preserve">– חברת </w:t>
      </w:r>
      <w:r w:rsidR="00132244">
        <w:rPr>
          <w:rFonts w:hint="cs"/>
          <w:rtl/>
        </w:rPr>
        <w:t>ס'</w:t>
      </w:r>
      <w:r>
        <w:rPr>
          <w:rtl/>
        </w:rPr>
        <w:t xml:space="preserve"> ביום הנישואין ובמועד הקובע</w:t>
      </w:r>
      <w:r>
        <w:rPr>
          <w:rFonts w:hint="cs"/>
          <w:rtl/>
        </w:rPr>
        <w:t>,</w:t>
      </w:r>
      <w:r>
        <w:rPr>
          <w:rtl/>
        </w:rPr>
        <w:t xml:space="preserve"> ואת שווי חברת </w:t>
      </w:r>
      <w:r w:rsidR="00132244">
        <w:rPr>
          <w:rFonts w:hint="cs"/>
          <w:rtl/>
        </w:rPr>
        <w:t>ו'</w:t>
      </w:r>
      <w:r>
        <w:rPr>
          <w:rtl/>
        </w:rPr>
        <w:t xml:space="preserve"> </w:t>
      </w:r>
      <w:r>
        <w:rPr>
          <w:rFonts w:hint="cs"/>
          <w:rtl/>
        </w:rPr>
        <w:t>ב</w:t>
      </w:r>
      <w:r>
        <w:rPr>
          <w:rtl/>
        </w:rPr>
        <w:t xml:space="preserve">יום הקמתה ובמועד הקובע, בהתאם לשיטת ה – </w:t>
      </w:r>
      <w:r>
        <w:t>DCF</w:t>
      </w:r>
      <w:r>
        <w:rPr>
          <w:rtl/>
        </w:rPr>
        <w:t xml:space="preserve">. </w:t>
      </w:r>
    </w:p>
    <w:p w:rsidR="00E237C7" w:rsidRDefault="00E237C7" w:rsidP="00E237C7">
      <w:pPr>
        <w:pStyle w:val="David"/>
        <w:spacing w:after="120"/>
        <w:ind w:left="567" w:hanging="567"/>
        <w:rPr>
          <w:rtl/>
        </w:rPr>
      </w:pPr>
      <w:r>
        <w:rPr>
          <w:rtl/>
        </w:rPr>
        <w:tab/>
        <w:t xml:space="preserve">במסגרת חוות דעתו ובחינת רווחי החברה, </w:t>
      </w:r>
      <w:r>
        <w:rPr>
          <w:rFonts w:hint="cs"/>
          <w:rtl/>
        </w:rPr>
        <w:t>ה</w:t>
      </w:r>
      <w:r>
        <w:rPr>
          <w:rtl/>
        </w:rPr>
        <w:t>תבקש המומחה להתייחס לא רק להון הקיים של החבר</w:t>
      </w:r>
      <w:r>
        <w:rPr>
          <w:rFonts w:hint="cs"/>
          <w:rtl/>
        </w:rPr>
        <w:t xml:space="preserve">ה </w:t>
      </w:r>
      <w:r>
        <w:rPr>
          <w:rtl/>
        </w:rPr>
        <w:t xml:space="preserve">במועדים הרלוונטיים, אלא גם לזכויות כספיות ואחרות שהיא עתידה לקבל מלקוחותיה בתקופה הסמוכה למועד הקובע, וככל שתקבולים אלה הן בעקבות שירות שניתן קודם למועד הקובע. כמו כן </w:t>
      </w:r>
      <w:r>
        <w:rPr>
          <w:rFonts w:hint="cs"/>
          <w:rtl/>
        </w:rPr>
        <w:t>התבקש</w:t>
      </w:r>
      <w:r>
        <w:rPr>
          <w:rtl/>
        </w:rPr>
        <w:t xml:space="preserve"> המומחה</w:t>
      </w:r>
      <w:r>
        <w:rPr>
          <w:rFonts w:hint="cs"/>
          <w:rtl/>
        </w:rPr>
        <w:t xml:space="preserve"> לבחון את</w:t>
      </w:r>
      <w:r>
        <w:rPr>
          <w:rtl/>
        </w:rPr>
        <w:t xml:space="preserve"> מצבת הנכסים של החברות ושווין. בנוסף </w:t>
      </w:r>
      <w:r>
        <w:rPr>
          <w:rFonts w:hint="cs"/>
          <w:rtl/>
        </w:rPr>
        <w:t>ה</w:t>
      </w:r>
      <w:r>
        <w:rPr>
          <w:rtl/>
        </w:rPr>
        <w:t>תבקש המומחה לאמוד את מוניטין החברות בתקופות הרלוונטיות כחלק מהערכת השווי</w:t>
      </w:r>
      <w:r>
        <w:rPr>
          <w:rFonts w:hint="cs"/>
          <w:rtl/>
        </w:rPr>
        <w:t>.</w:t>
      </w:r>
    </w:p>
    <w:p w:rsidR="00E237C7" w:rsidRDefault="00E237C7" w:rsidP="00E237C7">
      <w:pPr>
        <w:pStyle w:val="David"/>
        <w:spacing w:after="120"/>
        <w:ind w:left="567" w:hanging="567"/>
        <w:rPr>
          <w:rtl/>
        </w:rPr>
      </w:pPr>
      <w:r>
        <w:rPr>
          <w:rFonts w:hint="cs"/>
          <w:rtl/>
        </w:rPr>
        <w:t>5.</w:t>
      </w:r>
      <w:r>
        <w:rPr>
          <w:rFonts w:hint="cs"/>
          <w:rtl/>
        </w:rPr>
        <w:tab/>
        <w:t xml:space="preserve">ביום 31.10.2022, הגיש המומחה בקשה לתיק קמא, במסגרתה הודיע כי השלים את עדכון חוות דעתו כפי שהתבקש, לרבות מענה לשאלות ההבהרה מטעם הצדדים שהועברו אליו בסמוך להגשת חוות דעתו הראשונה. המומחה ביקש כי טרם יעביר את חוות דעתו העדכנית, ישולם שכר </w:t>
      </w:r>
      <w:r w:rsidRPr="00317C2C">
        <w:rPr>
          <w:rFonts w:hint="cs"/>
          <w:rtl/>
        </w:rPr>
        <w:t>טרחתו (הנוסף) על ידי</w:t>
      </w:r>
      <w:r>
        <w:rPr>
          <w:rFonts w:hint="cs"/>
          <w:rtl/>
        </w:rPr>
        <w:t xml:space="preserve"> הצדדים, ופירט כי מדובר ב-64.5 שעות עבודה שלו ושל צוותו, כאשר הסך הכולל לתשלום הינו 30,186 ₪. </w:t>
      </w:r>
    </w:p>
    <w:p w:rsidR="00E237C7" w:rsidRDefault="00E237C7" w:rsidP="00E237C7">
      <w:pPr>
        <w:pStyle w:val="David"/>
        <w:spacing w:after="120"/>
        <w:ind w:left="567" w:hanging="567"/>
        <w:rPr>
          <w:rtl/>
        </w:rPr>
      </w:pPr>
      <w:r>
        <w:rPr>
          <w:rFonts w:hint="cs"/>
          <w:rtl/>
        </w:rPr>
        <w:t>6.</w:t>
      </w:r>
      <w:r>
        <w:rPr>
          <w:rFonts w:hint="cs"/>
          <w:rtl/>
        </w:rPr>
        <w:tab/>
        <w:t xml:space="preserve"> ביום 2.2.2023 ולאחר שהתקיים דיון בבית משפט קמא אף בבקשת המומחה הנ"ל, ניתנה החלטת בית משפט קמא במסגרתה התבקש </w:t>
      </w:r>
      <w:r w:rsidRPr="00746545">
        <w:rPr>
          <w:rtl/>
        </w:rPr>
        <w:t xml:space="preserve">המומחה </w:t>
      </w:r>
      <w:r>
        <w:rPr>
          <w:rtl/>
        </w:rPr>
        <w:t>להגיש ל</w:t>
      </w:r>
      <w:r>
        <w:rPr>
          <w:rFonts w:hint="cs"/>
          <w:rtl/>
        </w:rPr>
        <w:t xml:space="preserve">תיק קמא </w:t>
      </w:r>
      <w:r w:rsidRPr="00746545">
        <w:rPr>
          <w:rtl/>
        </w:rPr>
        <w:t>דו"ח שעות לעניין דרישת התשלום שפורטה במכתבו מיום 31.10.22, במסגרתו יפורט מספר שעות העבודה השאוב מתוך מערכת דיווח השעות של העובדים במשרדו</w:t>
      </w:r>
      <w:r>
        <w:rPr>
          <w:rFonts w:hint="cs"/>
          <w:rtl/>
        </w:rPr>
        <w:t xml:space="preserve">. </w:t>
      </w:r>
    </w:p>
    <w:p w:rsidR="00E237C7" w:rsidRDefault="00E237C7" w:rsidP="00E237C7">
      <w:pPr>
        <w:pStyle w:val="David"/>
        <w:spacing w:after="120"/>
        <w:ind w:left="567" w:hanging="567"/>
        <w:rPr>
          <w:rtl/>
        </w:rPr>
      </w:pPr>
      <w:r>
        <w:rPr>
          <w:rFonts w:hint="cs"/>
          <w:rtl/>
        </w:rPr>
        <w:t>7.</w:t>
      </w:r>
      <w:r>
        <w:rPr>
          <w:rFonts w:hint="cs"/>
          <w:rtl/>
        </w:rPr>
        <w:tab/>
        <w:t>ביום 28.2.2023 הגיש המומחה את התייחסותו בהמשך להחלטה הנ"ל, במסגרתה ציין כי סך שעות העבודה שהושקעו בחוות הדעת ממאי 2020 ועד דצמבר 2022 עומד על 79.5 שעות, וכן פירט בטבלה את שמות חברי צוותו שעבדו על חוות הדעת וציון השעות שהשקיעו בעבודה.</w:t>
      </w:r>
    </w:p>
    <w:p w:rsidR="00E237C7" w:rsidRDefault="00E237C7" w:rsidP="00E237C7">
      <w:pPr>
        <w:pStyle w:val="David"/>
        <w:spacing w:after="120"/>
        <w:ind w:left="567" w:hanging="567"/>
        <w:rPr>
          <w:rtl/>
        </w:rPr>
      </w:pPr>
      <w:r>
        <w:rPr>
          <w:rFonts w:hint="cs"/>
          <w:rtl/>
        </w:rPr>
        <w:t>8.</w:t>
      </w:r>
      <w:r>
        <w:rPr>
          <w:rFonts w:hint="cs"/>
          <w:rtl/>
        </w:rPr>
        <w:tab/>
        <w:t xml:space="preserve">המבקשת הגישה תגובתה לבקשת המומחה בתיק קמא, במסגרתה התנגדה למבוקש וטענה כי מלבד דאגה לשכר טרחתו והתניית המשך הטיפול בתיק בתשלום שכ"ט גבוה, המומחה לא פעל לקבלת המסמכים הדרושים, לשם עריכת חוות דעתו, לא פועל בהתאם להחלטות שיפוטיות וכלל לא ברור בגין מה דורש את שכר </w:t>
      </w:r>
      <w:r w:rsidRPr="00317C2C">
        <w:rPr>
          <w:rFonts w:hint="cs"/>
          <w:rtl/>
        </w:rPr>
        <w:t>הטרחה הנוסף. כן</w:t>
      </w:r>
      <w:r>
        <w:rPr>
          <w:rFonts w:hint="cs"/>
          <w:rtl/>
        </w:rPr>
        <w:t xml:space="preserve"> ציינה המבקשת כי בהתאם לדרישות המומחה, שולם לו במצטבר סך של כמאה אלף ₪ עבור חוות הדעת.</w:t>
      </w:r>
    </w:p>
    <w:p w:rsidR="00E237C7" w:rsidRDefault="00E237C7" w:rsidP="00E237C7">
      <w:pPr>
        <w:pStyle w:val="David"/>
        <w:spacing w:after="120"/>
        <w:ind w:left="567" w:hanging="567"/>
      </w:pPr>
      <w:r>
        <w:rPr>
          <w:rFonts w:hint="cs"/>
          <w:rtl/>
        </w:rPr>
        <w:t>9.</w:t>
      </w:r>
      <w:r>
        <w:rPr>
          <w:rFonts w:hint="cs"/>
          <w:rtl/>
        </w:rPr>
        <w:tab/>
        <w:t>המשיב הגיש אף הוא את תגובתו לבקשת המומחה, במסגרתה התנגד למבוקש וטען כי דרישת המומחה לתשלום בגין 80 שעות עבודה נראית בלתי סבירה, בהתחשב בכמות השעות שהושקעה זה מכבר, והיכרות המומחה עם החומר. כן טען כי המחוקק התכוון להגביל את גובה התשלום המשולם למומחים בתיקי משפחה, כאמור בתקנה 26 לתקנות בית משפט לענייני משפחה (סדרי דין), תשפ"א-2020.</w:t>
      </w:r>
    </w:p>
    <w:p w:rsidR="00E237C7" w:rsidRDefault="00E237C7" w:rsidP="00E237C7">
      <w:pPr>
        <w:spacing w:after="120" w:line="360" w:lineRule="auto"/>
        <w:ind w:left="567" w:hanging="567"/>
        <w:jc w:val="both"/>
      </w:pPr>
      <w:r>
        <w:rPr>
          <w:rFonts w:hint="cs"/>
          <w:rtl/>
        </w:rPr>
        <w:t>10</w:t>
      </w:r>
      <w:r>
        <w:rPr>
          <w:rtl/>
        </w:rPr>
        <w:t>.</w:t>
      </w:r>
      <w:r>
        <w:rPr>
          <w:rtl/>
        </w:rPr>
        <w:tab/>
      </w:r>
      <w:r>
        <w:rPr>
          <w:u w:val="single"/>
          <w:rtl/>
        </w:rPr>
        <w:t xml:space="preserve">ביום </w:t>
      </w:r>
      <w:r>
        <w:rPr>
          <w:rFonts w:hint="cs"/>
          <w:u w:val="single"/>
          <w:rtl/>
        </w:rPr>
        <w:t>5</w:t>
      </w:r>
      <w:r>
        <w:rPr>
          <w:u w:val="single"/>
          <w:rtl/>
        </w:rPr>
        <w:t>.</w:t>
      </w:r>
      <w:r>
        <w:rPr>
          <w:rFonts w:hint="cs"/>
          <w:u w:val="single"/>
          <w:rtl/>
        </w:rPr>
        <w:t>7</w:t>
      </w:r>
      <w:r>
        <w:rPr>
          <w:u w:val="single"/>
          <w:rtl/>
        </w:rPr>
        <w:t xml:space="preserve">.23, ניתנה החלטת </w:t>
      </w:r>
      <w:r w:rsidRPr="0052147B">
        <w:rPr>
          <w:u w:val="single"/>
          <w:rtl/>
        </w:rPr>
        <w:t>בית משפט קמא</w:t>
      </w:r>
      <w:r>
        <w:rPr>
          <w:rFonts w:hint="cs"/>
          <w:u w:val="single"/>
          <w:rtl/>
        </w:rPr>
        <w:t xml:space="preserve"> כהאי לישנא</w:t>
      </w:r>
      <w:r>
        <w:rPr>
          <w:rFonts w:hint="cs"/>
          <w:rtl/>
        </w:rPr>
        <w:t>:</w:t>
      </w:r>
    </w:p>
    <w:p w:rsidR="00E237C7" w:rsidRPr="001C519A" w:rsidRDefault="00E237C7" w:rsidP="00E237C7">
      <w:pPr>
        <w:spacing w:after="120" w:line="360" w:lineRule="auto"/>
        <w:ind w:left="1134" w:right="567" w:hanging="567"/>
        <w:jc w:val="both"/>
        <w:rPr>
          <w:b/>
          <w:bCs/>
          <w:rtl/>
        </w:rPr>
      </w:pPr>
      <w:r>
        <w:rPr>
          <w:rtl/>
        </w:rPr>
        <w:tab/>
        <w:t>"</w:t>
      </w:r>
      <w:r w:rsidRPr="001C519A">
        <w:rPr>
          <w:b/>
          <w:bCs/>
          <w:rtl/>
        </w:rPr>
        <w:t>1. לאחר עיון בעמדות הצדדים והמומחה, מקבלת אני את</w:t>
      </w:r>
      <w:r>
        <w:rPr>
          <w:rFonts w:hint="cs"/>
          <w:b/>
          <w:bCs/>
          <w:rtl/>
        </w:rPr>
        <w:t xml:space="preserve"> </w:t>
      </w:r>
      <w:r w:rsidRPr="001C519A">
        <w:rPr>
          <w:b/>
          <w:bCs/>
          <w:rtl/>
        </w:rPr>
        <w:t>עמדת המומחה.</w:t>
      </w:r>
    </w:p>
    <w:p w:rsidR="00E237C7" w:rsidRPr="001C519A" w:rsidRDefault="00E237C7" w:rsidP="00E237C7">
      <w:pPr>
        <w:spacing w:after="120" w:line="360" w:lineRule="auto"/>
        <w:ind w:left="1134" w:right="567" w:hanging="567"/>
        <w:jc w:val="both"/>
        <w:rPr>
          <w:b/>
          <w:bCs/>
          <w:rtl/>
        </w:rPr>
      </w:pPr>
      <w:r>
        <w:rPr>
          <w:b/>
          <w:bCs/>
          <w:rtl/>
        </w:rPr>
        <w:lastRenderedPageBreak/>
        <w:tab/>
      </w:r>
      <w:r w:rsidRPr="001C519A">
        <w:rPr>
          <w:b/>
          <w:bCs/>
          <w:rtl/>
        </w:rPr>
        <w:t>איני מוצאת כל הצדקה להתערב בשיעור שכ"ט המבוקש על</w:t>
      </w:r>
      <w:r>
        <w:rPr>
          <w:rFonts w:hint="cs"/>
          <w:b/>
          <w:bCs/>
          <w:rtl/>
        </w:rPr>
        <w:t xml:space="preserve"> </w:t>
      </w:r>
      <w:r w:rsidRPr="001C519A">
        <w:rPr>
          <w:b/>
          <w:bCs/>
          <w:rtl/>
        </w:rPr>
        <w:t>ידי המומחה, אשר הינו סביר, כך בכלל ובפרט בנסיבות</w:t>
      </w:r>
      <w:r>
        <w:rPr>
          <w:rFonts w:hint="cs"/>
          <w:b/>
          <w:bCs/>
          <w:rtl/>
        </w:rPr>
        <w:t xml:space="preserve"> </w:t>
      </w:r>
      <w:r w:rsidRPr="001C519A">
        <w:rPr>
          <w:b/>
          <w:bCs/>
          <w:rtl/>
        </w:rPr>
        <w:t>ענייננו, לדידי. המומחה פירט בעדכון מיום 28.2.23 את</w:t>
      </w:r>
      <w:r>
        <w:rPr>
          <w:rFonts w:hint="cs"/>
          <w:b/>
          <w:bCs/>
          <w:rtl/>
        </w:rPr>
        <w:t xml:space="preserve"> </w:t>
      </w:r>
      <w:r w:rsidRPr="001C519A">
        <w:rPr>
          <w:b/>
          <w:bCs/>
          <w:rtl/>
        </w:rPr>
        <w:t>שעות עובדתו (וצוותו) ואני מוצאת את הדו"ח כסביר ומקובל.</w:t>
      </w:r>
    </w:p>
    <w:p w:rsidR="00E237C7" w:rsidRPr="001C519A" w:rsidRDefault="00E237C7" w:rsidP="00E237C7">
      <w:pPr>
        <w:spacing w:after="120" w:line="360" w:lineRule="auto"/>
        <w:ind w:left="1134" w:right="567" w:hanging="567"/>
        <w:jc w:val="both"/>
        <w:rPr>
          <w:b/>
          <w:bCs/>
          <w:rtl/>
        </w:rPr>
      </w:pPr>
      <w:r>
        <w:rPr>
          <w:b/>
          <w:bCs/>
          <w:rtl/>
        </w:rPr>
        <w:tab/>
      </w:r>
      <w:r w:rsidRPr="001C519A">
        <w:rPr>
          <w:b/>
          <w:bCs/>
          <w:rtl/>
        </w:rPr>
        <w:t>2. אי לכך, הצד</w:t>
      </w:r>
      <w:r>
        <w:rPr>
          <w:b/>
          <w:bCs/>
          <w:rtl/>
        </w:rPr>
        <w:t>דים ישלימו את שכ"ט המומחה כמפור</w:t>
      </w:r>
      <w:r>
        <w:rPr>
          <w:rFonts w:hint="cs"/>
          <w:b/>
          <w:bCs/>
          <w:rtl/>
        </w:rPr>
        <w:t>ט</w:t>
      </w:r>
      <w:r w:rsidRPr="001C519A">
        <w:rPr>
          <w:b/>
          <w:bCs/>
          <w:rtl/>
        </w:rPr>
        <w:t xml:space="preserve"> במכתבו מיום 31.10.22</w:t>
      </w:r>
      <w:r>
        <w:rPr>
          <w:rFonts w:hint="cs"/>
          <w:b/>
          <w:bCs/>
          <w:rtl/>
        </w:rPr>
        <w:t>.</w:t>
      </w:r>
    </w:p>
    <w:p w:rsidR="00E237C7" w:rsidRPr="001C519A" w:rsidRDefault="00E237C7" w:rsidP="00E237C7">
      <w:pPr>
        <w:spacing w:after="120" w:line="360" w:lineRule="auto"/>
        <w:ind w:left="1134" w:right="567" w:hanging="567"/>
        <w:jc w:val="both"/>
        <w:rPr>
          <w:b/>
          <w:bCs/>
          <w:rtl/>
        </w:rPr>
      </w:pPr>
      <w:r>
        <w:rPr>
          <w:b/>
          <w:bCs/>
          <w:rtl/>
        </w:rPr>
        <w:tab/>
      </w:r>
      <w:r w:rsidRPr="001C519A">
        <w:rPr>
          <w:b/>
          <w:bCs/>
          <w:rtl/>
        </w:rPr>
        <w:t>3. על מנת להתחשב בצדדים, הנני מורה כי הסכום ישולם</w:t>
      </w:r>
      <w:r>
        <w:rPr>
          <w:rFonts w:hint="cs"/>
          <w:b/>
          <w:bCs/>
          <w:rtl/>
        </w:rPr>
        <w:t xml:space="preserve"> </w:t>
      </w:r>
      <w:r>
        <w:rPr>
          <w:b/>
          <w:bCs/>
          <w:rtl/>
        </w:rPr>
        <w:t>למומחה ב</w:t>
      </w:r>
      <w:r>
        <w:rPr>
          <w:rFonts w:hint="cs"/>
          <w:b/>
          <w:bCs/>
          <w:rtl/>
        </w:rPr>
        <w:t xml:space="preserve">- 6 </w:t>
      </w:r>
      <w:r w:rsidRPr="001C519A">
        <w:rPr>
          <w:b/>
          <w:bCs/>
          <w:rtl/>
        </w:rPr>
        <w:t>תשלומים שווים ועוקבים, כאשר התשלום</w:t>
      </w:r>
      <w:r>
        <w:rPr>
          <w:rFonts w:hint="cs"/>
          <w:b/>
          <w:bCs/>
          <w:rtl/>
        </w:rPr>
        <w:t xml:space="preserve"> </w:t>
      </w:r>
      <w:r w:rsidRPr="001C519A">
        <w:rPr>
          <w:b/>
          <w:bCs/>
          <w:rtl/>
        </w:rPr>
        <w:t>הראשון ישולם ביום 1.9.23</w:t>
      </w:r>
      <w:r>
        <w:rPr>
          <w:rFonts w:hint="cs"/>
          <w:b/>
          <w:bCs/>
          <w:rtl/>
        </w:rPr>
        <w:t>.</w:t>
      </w:r>
    </w:p>
    <w:p w:rsidR="00E237C7" w:rsidRPr="00E45EE4" w:rsidRDefault="00E237C7" w:rsidP="00E237C7">
      <w:pPr>
        <w:spacing w:after="120" w:line="360" w:lineRule="auto"/>
        <w:ind w:left="1134" w:right="567" w:hanging="567"/>
        <w:jc w:val="both"/>
        <w:rPr>
          <w:b/>
          <w:bCs/>
          <w:rtl/>
        </w:rPr>
      </w:pPr>
      <w:r>
        <w:rPr>
          <w:b/>
          <w:bCs/>
          <w:rtl/>
        </w:rPr>
        <w:tab/>
      </w:r>
      <w:r w:rsidRPr="001C519A">
        <w:rPr>
          <w:b/>
          <w:bCs/>
          <w:rtl/>
        </w:rPr>
        <w:t>4. יומצא לצדדים ולמומחה</w:t>
      </w:r>
      <w:r>
        <w:rPr>
          <w:rFonts w:hint="cs"/>
          <w:b/>
          <w:bCs/>
          <w:rtl/>
        </w:rPr>
        <w:t>"</w:t>
      </w:r>
      <w:r w:rsidRPr="001C519A">
        <w:rPr>
          <w:b/>
          <w:bCs/>
          <w:rtl/>
        </w:rPr>
        <w:t>.</w:t>
      </w:r>
    </w:p>
    <w:p w:rsidR="00E237C7" w:rsidRDefault="00E237C7" w:rsidP="00E237C7">
      <w:pPr>
        <w:spacing w:after="120" w:line="360" w:lineRule="auto"/>
        <w:ind w:left="1134" w:right="567" w:hanging="567"/>
        <w:jc w:val="both"/>
        <w:rPr>
          <w:rtl/>
        </w:rPr>
      </w:pPr>
      <w:r>
        <w:rPr>
          <w:rtl/>
        </w:rPr>
        <w:t xml:space="preserve">בגין החלטה זו, </w:t>
      </w:r>
      <w:r>
        <w:rPr>
          <w:rFonts w:hint="cs"/>
          <w:rtl/>
        </w:rPr>
        <w:t>הוגשה בקשת רשות הערעור דנן.</w:t>
      </w:r>
    </w:p>
    <w:p w:rsidR="00E237C7" w:rsidRDefault="00E237C7" w:rsidP="00E237C7">
      <w:pPr>
        <w:spacing w:after="120" w:line="360" w:lineRule="auto"/>
        <w:ind w:left="1134" w:right="567" w:hanging="567"/>
        <w:jc w:val="both"/>
        <w:rPr>
          <w:rtl/>
        </w:rPr>
      </w:pPr>
    </w:p>
    <w:p w:rsidR="00E237C7" w:rsidRDefault="00E237C7" w:rsidP="00E237C7">
      <w:pPr>
        <w:spacing w:after="120" w:line="360" w:lineRule="auto"/>
        <w:jc w:val="both"/>
        <w:rPr>
          <w:b/>
          <w:bCs/>
          <w:u w:val="single"/>
          <w:rtl/>
        </w:rPr>
      </w:pPr>
      <w:r w:rsidRPr="00971084">
        <w:rPr>
          <w:rFonts w:hint="cs"/>
          <w:b/>
          <w:bCs/>
          <w:u w:val="single"/>
          <w:rtl/>
        </w:rPr>
        <w:t>ההחלטה מיום 14.8.23</w:t>
      </w:r>
    </w:p>
    <w:p w:rsidR="00E237C7" w:rsidRDefault="00E237C7" w:rsidP="00E237C7">
      <w:pPr>
        <w:spacing w:after="120" w:line="360" w:lineRule="auto"/>
        <w:ind w:left="708" w:hanging="708"/>
        <w:jc w:val="both"/>
        <w:rPr>
          <w:rtl/>
        </w:rPr>
      </w:pPr>
      <w:r w:rsidRPr="00971084">
        <w:rPr>
          <w:rFonts w:hint="cs"/>
          <w:rtl/>
        </w:rPr>
        <w:t>11.</w:t>
      </w:r>
      <w:r w:rsidRPr="00971084">
        <w:rPr>
          <w:rFonts w:hint="cs"/>
          <w:rtl/>
        </w:rPr>
        <w:tab/>
      </w:r>
      <w:r>
        <w:rPr>
          <w:rFonts w:hint="cs"/>
          <w:rtl/>
        </w:rPr>
        <w:t xml:space="preserve">במסגרת התיק קמא, המבקשת הגישה במספר הזדמנויות בקשות לחתימת פסיקתות, שעיקרן חיוב המשיב וצדדים שלישיים בהמצאת מסמכים הדרושים, כך לטענת המבקשת, להשלמת חוות דעת המומחה. </w:t>
      </w:r>
    </w:p>
    <w:p w:rsidR="00E237C7" w:rsidRDefault="00E237C7" w:rsidP="00E237C7">
      <w:pPr>
        <w:spacing w:after="120" w:line="360" w:lineRule="auto"/>
        <w:ind w:left="708" w:hanging="708"/>
        <w:jc w:val="both"/>
        <w:rPr>
          <w:rtl/>
        </w:rPr>
      </w:pPr>
      <w:r>
        <w:rPr>
          <w:rFonts w:hint="cs"/>
          <w:rtl/>
        </w:rPr>
        <w:t>12.</w:t>
      </w:r>
      <w:r>
        <w:rPr>
          <w:rFonts w:hint="cs"/>
          <w:rtl/>
        </w:rPr>
        <w:tab/>
      </w:r>
      <w:r w:rsidRPr="008D19F0">
        <w:rPr>
          <w:rFonts w:hint="cs"/>
          <w:rtl/>
        </w:rPr>
        <w:t xml:space="preserve">בהחלטה קמא מיום 2.2.23 חידדה השופטת קמא והורתה כי יומצאו מסמכים חשבונאיים עבור החברות עד לשנת 2012, וכן מסמכים שונים </w:t>
      </w:r>
      <w:r>
        <w:rPr>
          <w:rFonts w:hint="cs"/>
          <w:rtl/>
        </w:rPr>
        <w:t xml:space="preserve">נוספים </w:t>
      </w:r>
      <w:r w:rsidRPr="008D19F0">
        <w:rPr>
          <w:rFonts w:hint="cs"/>
          <w:rtl/>
        </w:rPr>
        <w:t xml:space="preserve">עד לשנת </w:t>
      </w:r>
      <w:r w:rsidRPr="00ED452D">
        <w:rPr>
          <w:rFonts w:hint="cs"/>
          <w:rtl/>
        </w:rPr>
        <w:t xml:space="preserve">2017. ביום 12.2.23 </w:t>
      </w:r>
      <w:r>
        <w:rPr>
          <w:rFonts w:hint="cs"/>
          <w:rtl/>
        </w:rPr>
        <w:t xml:space="preserve">נחתמה הפסיקתא, כשצויין בה כי על הצדדים לפעול תוך שישים ימים. </w:t>
      </w:r>
    </w:p>
    <w:p w:rsidR="00E237C7" w:rsidRDefault="00E237C7" w:rsidP="00E237C7">
      <w:pPr>
        <w:spacing w:after="120" w:line="360" w:lineRule="auto"/>
        <w:ind w:left="708" w:hanging="708"/>
        <w:jc w:val="both"/>
        <w:rPr>
          <w:rtl/>
        </w:rPr>
      </w:pPr>
      <w:r>
        <w:rPr>
          <w:rFonts w:hint="cs"/>
          <w:rtl/>
        </w:rPr>
        <w:t>13.</w:t>
      </w:r>
      <w:r>
        <w:rPr>
          <w:rFonts w:hint="cs"/>
          <w:rtl/>
        </w:rPr>
        <w:tab/>
        <w:t xml:space="preserve">ביום 1.5.23 פנתה המבקש בבקשה בתיק קמא, במסגרתה טענה כי המשיב לא משתף פעולה ולא פועל בהתאם לפסיקתא. בתגובתו, טען המשיב כי המבקשת לא פעלה כאמור בפסיקתא ולא פנתה לצדדי ג' כפי שהיתה אמורה, וכי מועד מימוש הפסיקתא חלף. המשיב אף הבהיר כי המציא את כל המסמכים הדרושים למומחה, ולטענתו המומחה אף אישר זאת; כן טען כי המומחה "פטר" אותו מהגשת מסמכים חשבונאיים ישנים שלא ניתן היה לאתרם, ואף בית המשפט אישר זאת עוד בשנת 2019. </w:t>
      </w:r>
    </w:p>
    <w:p w:rsidR="00E237C7" w:rsidRDefault="00E237C7" w:rsidP="00E237C7">
      <w:pPr>
        <w:spacing w:after="120" w:line="360" w:lineRule="auto"/>
        <w:ind w:left="708" w:hanging="708"/>
        <w:jc w:val="both"/>
        <w:rPr>
          <w:rtl/>
        </w:rPr>
      </w:pPr>
      <w:r>
        <w:rPr>
          <w:rFonts w:hint="cs"/>
          <w:rtl/>
        </w:rPr>
        <w:t>14.</w:t>
      </w:r>
      <w:r>
        <w:rPr>
          <w:rFonts w:hint="cs"/>
          <w:rtl/>
        </w:rPr>
        <w:tab/>
        <w:t>ביום 5.7.23 התירה השופטת קמא למבקשת להגיש לחתימתה פסיקתא מתוקנת, "</w:t>
      </w:r>
      <w:r w:rsidRPr="001C054F">
        <w:rPr>
          <w:rFonts w:hint="cs"/>
          <w:b/>
          <w:bCs/>
          <w:rtl/>
        </w:rPr>
        <w:t>כך שתופנה לרשויות המתאימות</w:t>
      </w:r>
      <w:r>
        <w:rPr>
          <w:rFonts w:hint="cs"/>
          <w:rtl/>
        </w:rPr>
        <w:t>", לשון הבקשה וההחלטה שציטטה ממנה.</w:t>
      </w:r>
    </w:p>
    <w:p w:rsidR="00E237C7" w:rsidRDefault="00E237C7" w:rsidP="00E237C7">
      <w:pPr>
        <w:spacing w:after="120" w:line="360" w:lineRule="auto"/>
        <w:ind w:left="708" w:hanging="708"/>
        <w:jc w:val="both"/>
        <w:rPr>
          <w:rtl/>
        </w:rPr>
      </w:pPr>
      <w:r>
        <w:rPr>
          <w:rFonts w:hint="cs"/>
          <w:rtl/>
        </w:rPr>
        <w:t>15.</w:t>
      </w:r>
      <w:r>
        <w:rPr>
          <w:rFonts w:hint="cs"/>
          <w:rtl/>
        </w:rPr>
        <w:tab/>
        <w:t>ביום 12.7.23 נחתמה הפסיקתא המתוקנת, במסגרתה התבקשו בנקים, חברות ביטוח וכן החברות של המשיב, לגלות מסמכים שונים על אודות המשיב. בו ביום שיגר המשיב תגובה מטעמו, במסגרתה התנגד להפניית הפסיקתא כלפי חברות הביטוח וכן החברות שלו, בטענה כי אינן מהוות "צד ג'" או "רשות מתאימה" כאמור בהחלטת השופטת הנ"ל, וכן חזר על טענתו כי כבר הוכח ונקבע כי אין בידי החברות מסמכים רלוונטיים נוספים (כמפורט בסעיף 13 לעיל).</w:t>
      </w:r>
    </w:p>
    <w:p w:rsidR="003679E8" w:rsidRDefault="003679E8" w:rsidP="00E237C7">
      <w:pPr>
        <w:spacing w:after="120" w:line="360" w:lineRule="auto"/>
        <w:ind w:left="708" w:hanging="708"/>
        <w:jc w:val="both"/>
        <w:rPr>
          <w:rtl/>
        </w:rPr>
      </w:pPr>
    </w:p>
    <w:p w:rsidR="003679E8" w:rsidRDefault="003679E8" w:rsidP="00E237C7">
      <w:pPr>
        <w:spacing w:after="120" w:line="360" w:lineRule="auto"/>
        <w:ind w:left="708" w:hanging="708"/>
        <w:jc w:val="both"/>
        <w:rPr>
          <w:rtl/>
        </w:rPr>
      </w:pPr>
    </w:p>
    <w:p w:rsidR="00E237C7" w:rsidRDefault="00E237C7" w:rsidP="00E237C7">
      <w:pPr>
        <w:spacing w:after="120" w:line="360" w:lineRule="auto"/>
        <w:ind w:left="708" w:hanging="708"/>
        <w:jc w:val="both"/>
        <w:rPr>
          <w:rtl/>
        </w:rPr>
      </w:pPr>
      <w:r>
        <w:rPr>
          <w:rFonts w:hint="cs"/>
          <w:rtl/>
        </w:rPr>
        <w:lastRenderedPageBreak/>
        <w:t>16.</w:t>
      </w:r>
      <w:r>
        <w:rPr>
          <w:rFonts w:hint="cs"/>
          <w:rtl/>
        </w:rPr>
        <w:tab/>
      </w:r>
      <w:r w:rsidRPr="00280DB2">
        <w:rPr>
          <w:rFonts w:hint="cs"/>
          <w:u w:val="single"/>
          <w:rtl/>
        </w:rPr>
        <w:t>ביום 14.8.23 ניתנה ההחלטה קמא השנייה עליה מבקשת המבקשת לערער, כדלקמן</w:t>
      </w:r>
      <w:r>
        <w:rPr>
          <w:rFonts w:hint="cs"/>
          <w:rtl/>
        </w:rPr>
        <w:t>:</w:t>
      </w:r>
    </w:p>
    <w:p w:rsidR="00E237C7" w:rsidRPr="00280DB2" w:rsidRDefault="00E237C7" w:rsidP="00E237C7">
      <w:pPr>
        <w:spacing w:after="120" w:line="360" w:lineRule="auto"/>
        <w:ind w:left="1275" w:right="567" w:hanging="708"/>
        <w:jc w:val="both"/>
        <w:rPr>
          <w:b/>
          <w:bCs/>
          <w:rtl/>
        </w:rPr>
      </w:pPr>
      <w:r>
        <w:rPr>
          <w:rtl/>
        </w:rPr>
        <w:tab/>
      </w:r>
      <w:r>
        <w:rPr>
          <w:rFonts w:hint="cs"/>
          <w:rtl/>
        </w:rPr>
        <w:t>"</w:t>
      </w:r>
      <w:r w:rsidRPr="00280DB2">
        <w:rPr>
          <w:b/>
          <w:bCs/>
          <w:rtl/>
        </w:rPr>
        <w:t>לאחר עיון בעמדות הצדדים, ובחומר שבתיק ולאחר</w:t>
      </w:r>
      <w:r w:rsidRPr="00280DB2">
        <w:rPr>
          <w:rFonts w:hint="cs"/>
          <w:b/>
          <w:bCs/>
          <w:rtl/>
        </w:rPr>
        <w:t xml:space="preserve"> </w:t>
      </w:r>
      <w:r w:rsidRPr="00280DB2">
        <w:rPr>
          <w:b/>
          <w:bCs/>
          <w:rtl/>
        </w:rPr>
        <w:t>ששקלתי שנית בדברים, הנני מורה כדלקמן:</w:t>
      </w:r>
    </w:p>
    <w:p w:rsidR="00E237C7" w:rsidRPr="00280DB2" w:rsidRDefault="00E237C7" w:rsidP="00E237C7">
      <w:pPr>
        <w:spacing w:after="120" w:line="360" w:lineRule="auto"/>
        <w:ind w:left="1275" w:right="567" w:hanging="708"/>
        <w:jc w:val="both"/>
        <w:rPr>
          <w:b/>
          <w:bCs/>
          <w:rtl/>
        </w:rPr>
      </w:pPr>
      <w:r w:rsidRPr="00280DB2">
        <w:rPr>
          <w:b/>
          <w:bCs/>
          <w:rtl/>
        </w:rPr>
        <w:tab/>
      </w:r>
      <w:r w:rsidRPr="00280DB2">
        <w:rPr>
          <w:b/>
          <w:bCs/>
        </w:rPr>
        <w:t>1</w:t>
      </w:r>
      <w:r w:rsidRPr="00280DB2">
        <w:rPr>
          <w:b/>
          <w:bCs/>
          <w:rtl/>
        </w:rPr>
        <w:t>. לעניין הסתייגותו של המבקש באשר לחברות- אכן,</w:t>
      </w:r>
      <w:r w:rsidRPr="00280DB2">
        <w:rPr>
          <w:rFonts w:hint="cs"/>
          <w:b/>
          <w:bCs/>
          <w:rtl/>
        </w:rPr>
        <w:t xml:space="preserve"> </w:t>
      </w:r>
      <w:r w:rsidRPr="00280DB2">
        <w:rPr>
          <w:b/>
          <w:bCs/>
          <w:rtl/>
        </w:rPr>
        <w:t>בהחלטתי מיום 17.12.19 קיבלתי את עמדת המבקש</w:t>
      </w:r>
      <w:r w:rsidRPr="00280DB2">
        <w:rPr>
          <w:rFonts w:hint="cs"/>
          <w:b/>
          <w:bCs/>
          <w:rtl/>
        </w:rPr>
        <w:t xml:space="preserve"> </w:t>
      </w:r>
      <w:r w:rsidRPr="00280DB2">
        <w:rPr>
          <w:b/>
          <w:bCs/>
          <w:rtl/>
        </w:rPr>
        <w:t>לפיה אין באפשרותו להמציא את המסמכים החסרים</w:t>
      </w:r>
      <w:r w:rsidRPr="00280DB2">
        <w:rPr>
          <w:rFonts w:hint="cs"/>
          <w:b/>
          <w:bCs/>
          <w:rtl/>
        </w:rPr>
        <w:t xml:space="preserve"> </w:t>
      </w:r>
      <w:r w:rsidRPr="00280DB2">
        <w:rPr>
          <w:b/>
          <w:bCs/>
          <w:rtl/>
        </w:rPr>
        <w:t>למומחה. אי לכך, הסתייגות זו מתקבלת. החברו</w:t>
      </w:r>
      <w:r w:rsidRPr="00280DB2">
        <w:rPr>
          <w:rFonts w:hint="cs"/>
          <w:b/>
          <w:bCs/>
          <w:rtl/>
        </w:rPr>
        <w:t>ת</w:t>
      </w:r>
      <w:r w:rsidRPr="00280DB2">
        <w:rPr>
          <w:b/>
          <w:bCs/>
          <w:rtl/>
        </w:rPr>
        <w:t xml:space="preserve"> יימחקו מהפסיקתא שנחתמה ביום 12.7.23</w:t>
      </w:r>
      <w:r w:rsidRPr="00280DB2">
        <w:rPr>
          <w:rFonts w:hint="cs"/>
          <w:b/>
          <w:bCs/>
          <w:rtl/>
        </w:rPr>
        <w:t>.</w:t>
      </w:r>
    </w:p>
    <w:p w:rsidR="00E237C7" w:rsidRPr="00280DB2" w:rsidRDefault="00E237C7" w:rsidP="00E237C7">
      <w:pPr>
        <w:spacing w:after="120" w:line="360" w:lineRule="auto"/>
        <w:ind w:left="1275" w:right="567" w:hanging="708"/>
        <w:jc w:val="both"/>
        <w:rPr>
          <w:b/>
          <w:bCs/>
          <w:rtl/>
        </w:rPr>
      </w:pPr>
      <w:r w:rsidRPr="00280DB2">
        <w:rPr>
          <w:b/>
          <w:bCs/>
          <w:rtl/>
        </w:rPr>
        <w:tab/>
      </w:r>
      <w:r w:rsidRPr="00280DB2">
        <w:rPr>
          <w:b/>
          <w:bCs/>
        </w:rPr>
        <w:t>2</w:t>
      </w:r>
      <w:r w:rsidRPr="00280DB2">
        <w:rPr>
          <w:b/>
          <w:bCs/>
          <w:rtl/>
        </w:rPr>
        <w:t>. לעניין הסתייגותו של המבקש באשר לחברות</w:t>
      </w:r>
      <w:r w:rsidRPr="00280DB2">
        <w:rPr>
          <w:rFonts w:hint="cs"/>
          <w:b/>
          <w:bCs/>
          <w:rtl/>
        </w:rPr>
        <w:t xml:space="preserve"> </w:t>
      </w:r>
      <w:r w:rsidRPr="00280DB2">
        <w:rPr>
          <w:b/>
          <w:bCs/>
          <w:rtl/>
        </w:rPr>
        <w:t>הביטוח- המסמכים שניתן צו לגילוים אינם קשורים</w:t>
      </w:r>
      <w:r w:rsidRPr="00280DB2">
        <w:rPr>
          <w:rFonts w:hint="cs"/>
          <w:b/>
          <w:bCs/>
          <w:rtl/>
        </w:rPr>
        <w:t xml:space="preserve"> </w:t>
      </w:r>
      <w:r w:rsidRPr="00280DB2">
        <w:rPr>
          <w:b/>
          <w:bCs/>
          <w:rtl/>
        </w:rPr>
        <w:t>לחברות הביטוח כלל ועל כן ממילא חברות הביטוח</w:t>
      </w:r>
      <w:r w:rsidRPr="00280DB2">
        <w:rPr>
          <w:rFonts w:hint="cs"/>
          <w:b/>
          <w:bCs/>
          <w:rtl/>
        </w:rPr>
        <w:t xml:space="preserve"> </w:t>
      </w:r>
      <w:r w:rsidRPr="00280DB2">
        <w:rPr>
          <w:b/>
          <w:bCs/>
          <w:rtl/>
        </w:rPr>
        <w:t>אינן יכולות לפעול על פי הפסיקתא, לפי נוסחה. אי</w:t>
      </w:r>
      <w:r w:rsidRPr="00280DB2">
        <w:rPr>
          <w:rFonts w:hint="cs"/>
          <w:b/>
          <w:bCs/>
          <w:rtl/>
        </w:rPr>
        <w:t xml:space="preserve"> </w:t>
      </w:r>
      <w:r w:rsidRPr="00280DB2">
        <w:rPr>
          <w:b/>
          <w:bCs/>
          <w:rtl/>
        </w:rPr>
        <w:t>לכך, הסתייגות זו מתקבלת אף היא.</w:t>
      </w:r>
    </w:p>
    <w:p w:rsidR="00E237C7" w:rsidRPr="00280DB2" w:rsidRDefault="00E237C7" w:rsidP="00E237C7">
      <w:pPr>
        <w:spacing w:after="120" w:line="360" w:lineRule="auto"/>
        <w:ind w:left="1275" w:right="567" w:hanging="708"/>
        <w:jc w:val="both"/>
        <w:rPr>
          <w:b/>
          <w:bCs/>
          <w:rtl/>
        </w:rPr>
      </w:pPr>
      <w:r w:rsidRPr="00280DB2">
        <w:rPr>
          <w:b/>
          <w:bCs/>
          <w:rtl/>
        </w:rPr>
        <w:tab/>
      </w:r>
      <w:r w:rsidRPr="00280DB2">
        <w:rPr>
          <w:b/>
          <w:bCs/>
        </w:rPr>
        <w:t>3</w:t>
      </w:r>
      <w:r w:rsidRPr="00280DB2">
        <w:rPr>
          <w:b/>
          <w:bCs/>
          <w:rtl/>
        </w:rPr>
        <w:t>. פסיקתא מתוקנת ניתנה בנפרד.</w:t>
      </w:r>
    </w:p>
    <w:p w:rsidR="00E237C7" w:rsidRPr="005343A9" w:rsidRDefault="00E237C7" w:rsidP="00E237C7">
      <w:pPr>
        <w:spacing w:after="120" w:line="360" w:lineRule="auto"/>
        <w:ind w:left="1275" w:right="567" w:hanging="708"/>
        <w:jc w:val="both"/>
        <w:rPr>
          <w:b/>
          <w:bCs/>
          <w:rtl/>
        </w:rPr>
      </w:pPr>
      <w:r w:rsidRPr="00280DB2">
        <w:rPr>
          <w:b/>
          <w:bCs/>
          <w:rtl/>
        </w:rPr>
        <w:tab/>
      </w:r>
      <w:r w:rsidRPr="00280DB2">
        <w:rPr>
          <w:b/>
          <w:bCs/>
        </w:rPr>
        <w:t>4</w:t>
      </w:r>
      <w:r w:rsidRPr="00280DB2">
        <w:rPr>
          <w:b/>
          <w:bCs/>
          <w:rtl/>
        </w:rPr>
        <w:t>. יומצא</w:t>
      </w:r>
      <w:r>
        <w:rPr>
          <w:rFonts w:hint="cs"/>
          <w:b/>
          <w:bCs/>
          <w:rtl/>
        </w:rPr>
        <w:t>"</w:t>
      </w:r>
      <w:r w:rsidRPr="00280DB2">
        <w:rPr>
          <w:b/>
          <w:bCs/>
          <w:rtl/>
        </w:rPr>
        <w:t>.</w:t>
      </w:r>
    </w:p>
    <w:p w:rsidR="00E237C7" w:rsidRDefault="00E237C7" w:rsidP="00E237C7">
      <w:pPr>
        <w:spacing w:after="120" w:line="360" w:lineRule="auto"/>
        <w:jc w:val="both"/>
        <w:rPr>
          <w:rtl/>
        </w:rPr>
      </w:pPr>
      <w:r>
        <w:rPr>
          <w:rFonts w:hint="cs"/>
          <w:rtl/>
        </w:rPr>
        <w:t>17.</w:t>
      </w:r>
      <w:r>
        <w:rPr>
          <w:rFonts w:hint="cs"/>
          <w:rtl/>
        </w:rPr>
        <w:tab/>
        <w:t>בו ביום, 14.8.23, חתמה השופטת קמא על צו גילוי מסמכים מתוקן בהתאם להחלטתה הנ"ל.</w:t>
      </w:r>
    </w:p>
    <w:p w:rsidR="00E237C7" w:rsidRPr="00ED452D" w:rsidRDefault="00E237C7" w:rsidP="00E237C7">
      <w:pPr>
        <w:spacing w:after="120" w:line="360" w:lineRule="auto"/>
        <w:jc w:val="both"/>
        <w:rPr>
          <w:rtl/>
        </w:rPr>
      </w:pPr>
    </w:p>
    <w:p w:rsidR="00E237C7" w:rsidRDefault="00E237C7" w:rsidP="00E237C7">
      <w:pPr>
        <w:spacing w:after="120" w:line="360" w:lineRule="auto"/>
        <w:jc w:val="both"/>
        <w:rPr>
          <w:b/>
          <w:bCs/>
          <w:u w:val="single"/>
          <w:rtl/>
        </w:rPr>
      </w:pPr>
      <w:r>
        <w:rPr>
          <w:b/>
          <w:bCs/>
          <w:u w:val="single"/>
          <w:rtl/>
        </w:rPr>
        <w:t>טענות המ</w:t>
      </w:r>
      <w:r>
        <w:rPr>
          <w:rFonts w:hint="cs"/>
          <w:b/>
          <w:bCs/>
          <w:u w:val="single"/>
          <w:rtl/>
        </w:rPr>
        <w:t>בקשת בבקשת רשות הערעור</w:t>
      </w:r>
    </w:p>
    <w:p w:rsidR="00E237C7" w:rsidRDefault="00E237C7" w:rsidP="00E237C7">
      <w:pPr>
        <w:spacing w:after="120" w:line="360" w:lineRule="auto"/>
        <w:jc w:val="both"/>
        <w:rPr>
          <w:rtl/>
        </w:rPr>
      </w:pPr>
      <w:r>
        <w:rPr>
          <w:rFonts w:hint="cs"/>
          <w:rtl/>
        </w:rPr>
        <w:t>18</w:t>
      </w:r>
      <w:r>
        <w:rPr>
          <w:rtl/>
        </w:rPr>
        <w:t>.</w:t>
      </w:r>
      <w:r>
        <w:rPr>
          <w:rtl/>
        </w:rPr>
        <w:tab/>
      </w:r>
      <w:r>
        <w:rPr>
          <w:rFonts w:hint="cs"/>
          <w:u w:val="single"/>
          <w:rtl/>
        </w:rPr>
        <w:t>להלן תמצית טענות המבקשת בבקשת רשות הערעור</w:t>
      </w:r>
      <w:r>
        <w:rPr>
          <w:rtl/>
        </w:rPr>
        <w:t>:</w:t>
      </w:r>
    </w:p>
    <w:p w:rsidR="00E237C7" w:rsidRDefault="00E237C7" w:rsidP="00E237C7">
      <w:pPr>
        <w:spacing w:after="120" w:line="360" w:lineRule="auto"/>
        <w:jc w:val="both"/>
        <w:rPr>
          <w:rtl/>
        </w:rPr>
      </w:pPr>
      <w:r>
        <w:rPr>
          <w:rtl/>
        </w:rPr>
        <w:tab/>
      </w:r>
      <w:r w:rsidRPr="00D472A6">
        <w:rPr>
          <w:rFonts w:hint="cs"/>
          <w:b/>
          <w:bCs/>
          <w:u w:val="single"/>
          <w:rtl/>
        </w:rPr>
        <w:t>בכל הקשור להחלטה קמא מיום 5.7.23</w:t>
      </w:r>
      <w:r>
        <w:rPr>
          <w:rFonts w:hint="cs"/>
          <w:rtl/>
        </w:rPr>
        <w:t>:</w:t>
      </w:r>
    </w:p>
    <w:p w:rsidR="00E237C7" w:rsidRDefault="00E237C7" w:rsidP="00E237C7">
      <w:pPr>
        <w:spacing w:after="120" w:line="360" w:lineRule="auto"/>
        <w:ind w:left="1275" w:hanging="567"/>
        <w:jc w:val="both"/>
        <w:rPr>
          <w:rtl/>
        </w:rPr>
      </w:pPr>
      <w:r>
        <w:rPr>
          <w:rtl/>
        </w:rPr>
        <w:t>א.</w:t>
      </w:r>
      <w:r>
        <w:rPr>
          <w:rtl/>
        </w:rPr>
        <w:tab/>
      </w:r>
      <w:r>
        <w:rPr>
          <w:rFonts w:hint="cs"/>
          <w:rtl/>
        </w:rPr>
        <w:t xml:space="preserve">שגה בית משפט קמא בקביעתו, כי על הצדדים להשלים שכר טרחה נוסף למומחה, שעה שהמומחה אשר מונה לפני למעלה מחמש שנים, גבה שכר טרחה של למעלה ממאה אלף ₪ - לא פעל להשלמת המסמכים הדרושים אלא רק דרש עוד שכ"ט. </w:t>
      </w:r>
    </w:p>
    <w:p w:rsidR="00E237C7" w:rsidRDefault="00E237C7" w:rsidP="00E237C7">
      <w:pPr>
        <w:spacing w:after="120" w:line="360" w:lineRule="auto"/>
        <w:ind w:left="1275" w:hanging="567"/>
        <w:jc w:val="both"/>
        <w:rPr>
          <w:rtl/>
        </w:rPr>
      </w:pPr>
      <w:r>
        <w:rPr>
          <w:rFonts w:hint="cs"/>
          <w:rtl/>
        </w:rPr>
        <w:t>ב.</w:t>
      </w:r>
      <w:r>
        <w:rPr>
          <w:rFonts w:hint="cs"/>
          <w:rtl/>
        </w:rPr>
        <w:tab/>
        <w:t>לא ברור בגין מה נדרשת תוספת שכר הטרחה, מקום שלא נעשתה כל עבודה במהלך השנים האחרונות. ההחלטה קמא כלל לא נומקה מלבד אמירה בעלמא כי מתקבלת עמדת המומחה מפברואר 2023, כאשר אין בפני בית משפט קמא כל פירוט ביחס לדרישת התשלום החדשה.</w:t>
      </w:r>
    </w:p>
    <w:p w:rsidR="00E237C7" w:rsidRDefault="00E237C7" w:rsidP="00E237C7">
      <w:pPr>
        <w:spacing w:after="120" w:line="360" w:lineRule="auto"/>
        <w:ind w:left="1275" w:hanging="567"/>
        <w:jc w:val="both"/>
        <w:rPr>
          <w:rtl/>
        </w:rPr>
      </w:pPr>
      <w:r>
        <w:rPr>
          <w:rFonts w:hint="cs"/>
          <w:rtl/>
        </w:rPr>
        <w:t>ג.</w:t>
      </w:r>
      <w:r>
        <w:rPr>
          <w:rFonts w:hint="cs"/>
          <w:rtl/>
        </w:rPr>
        <w:tab/>
        <w:t xml:space="preserve">המומחה לא פועל בחלל ריק אלא נתון לפיקוחו של בית המשפט שמינהו. שכר טרחת המומחה אינו בלתי נגמר וצריך להיות סביר ביחס לסוגיה הנבחנת. במקרים בהם לא נקבע שכר טרחה מראש, על בית המשפט לפסוק שכר ראוי וסביר. יוזכר כי עד כה, למומחה שולם על ידי הצדדים שכ"ט בגובה של כמאה אלף ₪. </w:t>
      </w:r>
    </w:p>
    <w:p w:rsidR="00E237C7" w:rsidRDefault="00E237C7" w:rsidP="00E237C7">
      <w:pPr>
        <w:spacing w:after="120" w:line="360" w:lineRule="auto"/>
        <w:ind w:left="1275" w:hanging="567"/>
        <w:jc w:val="both"/>
        <w:rPr>
          <w:rtl/>
        </w:rPr>
      </w:pPr>
      <w:r>
        <w:rPr>
          <w:rFonts w:hint="cs"/>
          <w:rtl/>
        </w:rPr>
        <w:t>ד.</w:t>
      </w:r>
      <w:r>
        <w:rPr>
          <w:rFonts w:hint="cs"/>
          <w:rtl/>
        </w:rPr>
        <w:tab/>
        <w:t xml:space="preserve">כוונת </w:t>
      </w:r>
      <w:r w:rsidRPr="00887F24">
        <w:rPr>
          <w:rtl/>
        </w:rPr>
        <w:t xml:space="preserve">המחוקק </w:t>
      </w:r>
      <w:r>
        <w:rPr>
          <w:rFonts w:hint="cs"/>
          <w:rtl/>
        </w:rPr>
        <w:t>הייתה</w:t>
      </w:r>
      <w:r w:rsidRPr="00887F24">
        <w:rPr>
          <w:rtl/>
        </w:rPr>
        <w:t xml:space="preserve"> להגביל את גובה התשלום המשולם למומחים בתיקי משפחה, כאמור בתקנה 26 לתקנות בית משפט לענייני משפחה (סדרי דין), תשפ"א-2020.</w:t>
      </w:r>
    </w:p>
    <w:p w:rsidR="003679E8" w:rsidRDefault="003679E8" w:rsidP="00E237C7">
      <w:pPr>
        <w:spacing w:after="120" w:line="360" w:lineRule="auto"/>
        <w:ind w:left="1275" w:hanging="567"/>
        <w:jc w:val="both"/>
        <w:rPr>
          <w:rtl/>
        </w:rPr>
      </w:pPr>
    </w:p>
    <w:p w:rsidR="00E237C7" w:rsidRDefault="00E237C7" w:rsidP="00E237C7">
      <w:pPr>
        <w:spacing w:after="120" w:line="360" w:lineRule="auto"/>
        <w:ind w:left="1275" w:hanging="567"/>
        <w:jc w:val="both"/>
        <w:rPr>
          <w:rtl/>
        </w:rPr>
      </w:pPr>
      <w:r w:rsidRPr="00D472A6">
        <w:rPr>
          <w:rFonts w:hint="cs"/>
          <w:b/>
          <w:bCs/>
          <w:u w:val="single"/>
          <w:rtl/>
        </w:rPr>
        <w:lastRenderedPageBreak/>
        <w:t>בכל הקשור להחלטה קמא מיום 14.8.23</w:t>
      </w:r>
      <w:r>
        <w:rPr>
          <w:rFonts w:hint="cs"/>
          <w:rtl/>
        </w:rPr>
        <w:t>:</w:t>
      </w:r>
    </w:p>
    <w:p w:rsidR="00E237C7" w:rsidRDefault="00E237C7" w:rsidP="00E237C7">
      <w:pPr>
        <w:spacing w:after="120" w:line="360" w:lineRule="auto"/>
        <w:ind w:left="1275" w:hanging="567"/>
        <w:jc w:val="both"/>
        <w:rPr>
          <w:rtl/>
        </w:rPr>
      </w:pPr>
      <w:r>
        <w:rPr>
          <w:rFonts w:hint="cs"/>
          <w:rtl/>
        </w:rPr>
        <w:t>ה.</w:t>
      </w:r>
      <w:r>
        <w:rPr>
          <w:rFonts w:hint="cs"/>
          <w:rtl/>
        </w:rPr>
        <w:tab/>
        <w:t xml:space="preserve">שגה בית משפט קמא שלא הורה למשיב להמציא את המסמכים הנדרשים, ומאחר שהוא בעל המניות העיקרי אם לא היחידי בחברות </w:t>
      </w:r>
      <w:r>
        <w:rPr>
          <w:rtl/>
        </w:rPr>
        <w:t>–</w:t>
      </w:r>
      <w:r>
        <w:rPr>
          <w:rFonts w:hint="cs"/>
          <w:rtl/>
        </w:rPr>
        <w:t xml:space="preserve"> אצלו מצויים המסמכים החשבונאיים האמורים, דוחות רווח והפסד וכיוצ"ב, שביקש האקטואר. </w:t>
      </w:r>
    </w:p>
    <w:p w:rsidR="00E237C7" w:rsidRPr="00887F24" w:rsidRDefault="00E237C7" w:rsidP="00E237C7">
      <w:pPr>
        <w:spacing w:after="120" w:line="360" w:lineRule="auto"/>
        <w:ind w:left="1275" w:hanging="567"/>
        <w:jc w:val="both"/>
        <w:rPr>
          <w:rtl/>
        </w:rPr>
      </w:pPr>
      <w:r>
        <w:rPr>
          <w:rFonts w:hint="cs"/>
          <w:rtl/>
        </w:rPr>
        <w:t>ו.</w:t>
      </w:r>
      <w:r>
        <w:rPr>
          <w:rFonts w:hint="cs"/>
          <w:rtl/>
        </w:rPr>
        <w:tab/>
        <w:t xml:space="preserve">בית משפט קמא שינה את החלטותיו בנוגע לגילוי מסמכים מספר פעמים ואיפשר למשיב להפר החלטות שיפוטיות שנתן. ביום 30.6.2022 הוגשה תגובת המומחה במסגרתה ציין אלו מסמכים לא התקבלו אצלו עד למועד זה. דא עקא בית משפט קמא לא נתן צו באותו מועד ונדרשו למבקשת שנה וחודשיים כדי לקבל את הצו </w:t>
      </w:r>
      <w:r>
        <w:rPr>
          <w:rtl/>
        </w:rPr>
        <w:t>–</w:t>
      </w:r>
      <w:r>
        <w:rPr>
          <w:rFonts w:hint="cs"/>
          <w:rtl/>
        </w:rPr>
        <w:t xml:space="preserve"> שבוטל ביום בו ניתן, לבקשת המשיב במעמד צד אחד ומבלי שקיים כל נימוק שהצדיק זאת.</w:t>
      </w:r>
    </w:p>
    <w:p w:rsidR="00E237C7" w:rsidRDefault="00E237C7" w:rsidP="00E237C7">
      <w:pPr>
        <w:spacing w:after="120" w:line="360" w:lineRule="auto"/>
        <w:ind w:left="708" w:hanging="708"/>
        <w:jc w:val="both"/>
        <w:rPr>
          <w:rtl/>
        </w:rPr>
      </w:pPr>
      <w:r>
        <w:rPr>
          <w:rFonts w:hint="cs"/>
          <w:rtl/>
        </w:rPr>
        <w:t>19.</w:t>
      </w:r>
      <w:r>
        <w:rPr>
          <w:rFonts w:hint="cs"/>
          <w:rtl/>
        </w:rPr>
        <w:tab/>
      </w:r>
      <w:r w:rsidRPr="009E6BD4">
        <w:rPr>
          <w:rFonts w:hint="cs"/>
          <w:u w:val="single"/>
          <w:rtl/>
        </w:rPr>
        <w:t>ביקשתי, וקיבלתי, את תשובת המשיב לבקשת</w:t>
      </w:r>
      <w:r>
        <w:rPr>
          <w:rFonts w:hint="cs"/>
          <w:u w:val="single"/>
          <w:rtl/>
        </w:rPr>
        <w:t xml:space="preserve"> רשות הערעור. להלן תמצית טענותיו</w:t>
      </w:r>
      <w:r>
        <w:rPr>
          <w:rFonts w:hint="cs"/>
          <w:rtl/>
        </w:rPr>
        <w:t>:</w:t>
      </w:r>
    </w:p>
    <w:p w:rsidR="00E237C7" w:rsidRDefault="00E237C7" w:rsidP="00E237C7">
      <w:pPr>
        <w:spacing w:after="120" w:line="360" w:lineRule="auto"/>
        <w:jc w:val="both"/>
        <w:rPr>
          <w:rtl/>
        </w:rPr>
      </w:pPr>
      <w:r>
        <w:rPr>
          <w:rtl/>
        </w:rPr>
        <w:tab/>
      </w:r>
      <w:r w:rsidRPr="00D472A6">
        <w:rPr>
          <w:rFonts w:hint="cs"/>
          <w:b/>
          <w:bCs/>
          <w:u w:val="single"/>
          <w:rtl/>
        </w:rPr>
        <w:t>בכל הקשור להחלטה קמא מיום 5.7.23</w:t>
      </w:r>
      <w:r>
        <w:rPr>
          <w:rFonts w:hint="cs"/>
          <w:rtl/>
        </w:rPr>
        <w:t>:</w:t>
      </w:r>
    </w:p>
    <w:p w:rsidR="00E237C7" w:rsidRDefault="00E237C7" w:rsidP="00E237C7">
      <w:pPr>
        <w:spacing w:after="120" w:line="360" w:lineRule="auto"/>
        <w:ind w:left="1275" w:hanging="567"/>
        <w:jc w:val="both"/>
        <w:rPr>
          <w:rtl/>
        </w:rPr>
      </w:pPr>
      <w:r>
        <w:rPr>
          <w:rFonts w:hint="cs"/>
          <w:rtl/>
        </w:rPr>
        <w:t>א.</w:t>
      </w:r>
      <w:r>
        <w:rPr>
          <w:rFonts w:hint="cs"/>
          <w:rtl/>
        </w:rPr>
        <w:tab/>
        <w:t xml:space="preserve">בתגובותיו בתיק קמא, למעשה הצטרף המשיב לטיעוני המבקשת בכל הקשור לתשלום שכר הטרחה המבוקש על ידי המומחה. </w:t>
      </w:r>
    </w:p>
    <w:p w:rsidR="00E237C7" w:rsidRDefault="00E237C7" w:rsidP="00E237C7">
      <w:pPr>
        <w:spacing w:after="120" w:line="360" w:lineRule="auto"/>
        <w:ind w:left="1275" w:hanging="567"/>
        <w:jc w:val="both"/>
        <w:rPr>
          <w:rtl/>
        </w:rPr>
      </w:pPr>
      <w:r>
        <w:rPr>
          <w:rFonts w:hint="cs"/>
          <w:rtl/>
        </w:rPr>
        <w:t>ב.</w:t>
      </w:r>
      <w:r>
        <w:rPr>
          <w:rFonts w:hint="cs"/>
          <w:rtl/>
        </w:rPr>
        <w:tab/>
        <w:t>המבקש סבור כי נוכח שכר הטרחה שכבר שולם למומחה, בסך של כמאה אלף ₪, אין מקום לתשלום שכר טרחה נוסף, ועל המומחה לבצע השלמות ותיקונים כפי שהורה לו בית משפט קמא, לרבות מענה לשאלות ההבהרה שנשלחו אליו.</w:t>
      </w:r>
    </w:p>
    <w:p w:rsidR="00E237C7" w:rsidRDefault="00E237C7" w:rsidP="00E237C7">
      <w:pPr>
        <w:spacing w:after="120" w:line="360" w:lineRule="auto"/>
        <w:ind w:left="1275" w:hanging="567"/>
        <w:jc w:val="both"/>
        <w:rPr>
          <w:rtl/>
        </w:rPr>
      </w:pPr>
      <w:r w:rsidRPr="00D472A6">
        <w:rPr>
          <w:rFonts w:hint="cs"/>
          <w:b/>
          <w:bCs/>
          <w:u w:val="single"/>
          <w:rtl/>
        </w:rPr>
        <w:t>בכל הקשור להחלטה קמא מיום 14.8.23</w:t>
      </w:r>
      <w:r>
        <w:rPr>
          <w:rFonts w:hint="cs"/>
          <w:rtl/>
        </w:rPr>
        <w:t>:</w:t>
      </w:r>
    </w:p>
    <w:p w:rsidR="00E237C7" w:rsidRDefault="00E237C7" w:rsidP="00E237C7">
      <w:pPr>
        <w:spacing w:after="120" w:line="360" w:lineRule="auto"/>
        <w:ind w:left="1275" w:hanging="567"/>
        <w:jc w:val="both"/>
        <w:rPr>
          <w:rtl/>
        </w:rPr>
      </w:pPr>
      <w:r>
        <w:rPr>
          <w:rFonts w:hint="cs"/>
          <w:rtl/>
        </w:rPr>
        <w:t>ג.</w:t>
      </w:r>
      <w:r>
        <w:rPr>
          <w:rFonts w:hint="cs"/>
          <w:rtl/>
        </w:rPr>
        <w:tab/>
        <w:t xml:space="preserve">המבקשת מציגה את הדברים באופן שגוי ומטעה, מאחר שהמשיב הגיש זה מכבר עשרות מסמכים של החנות שפועלת כחברה, והמומחה אישר את קבלתם. מסמכים בודדים לא נשמרו אצל המשיב או אצל רואי החשבון שליוו את העסק, ולגביהם ניתנה החלטה כבר ביום 17.12.2019, כי המשיב הוכיח שלא ניתן לאתר את המסמכים המדוברים, והמומחה אישר כי תיקן את חוות דעתו ללא מסמכים אלה. </w:t>
      </w:r>
    </w:p>
    <w:p w:rsidR="00E237C7" w:rsidRDefault="00E237C7" w:rsidP="00E237C7">
      <w:pPr>
        <w:spacing w:after="120" w:line="360" w:lineRule="auto"/>
        <w:ind w:left="1275" w:hanging="567"/>
        <w:jc w:val="both"/>
        <w:rPr>
          <w:rtl/>
        </w:rPr>
      </w:pPr>
      <w:r>
        <w:rPr>
          <w:rFonts w:hint="cs"/>
          <w:rtl/>
        </w:rPr>
        <w:t>ד.</w:t>
      </w:r>
      <w:r>
        <w:rPr>
          <w:rFonts w:hint="cs"/>
          <w:rtl/>
        </w:rPr>
        <w:tab/>
        <w:t xml:space="preserve">המבקשת לא מאפשרת להליך להסתיים שנים רבות מסיבות זרות וחיצוניות להליך. </w:t>
      </w:r>
    </w:p>
    <w:p w:rsidR="00E237C7" w:rsidRDefault="00E237C7" w:rsidP="00E237C7">
      <w:pPr>
        <w:spacing w:after="120" w:line="360" w:lineRule="auto"/>
        <w:ind w:left="1275" w:hanging="567"/>
        <w:jc w:val="both"/>
        <w:rPr>
          <w:rtl/>
        </w:rPr>
      </w:pPr>
      <w:r>
        <w:rPr>
          <w:rFonts w:hint="cs"/>
          <w:rtl/>
        </w:rPr>
        <w:t>ה.</w:t>
      </w:r>
      <w:r>
        <w:rPr>
          <w:rFonts w:hint="cs"/>
          <w:rtl/>
        </w:rPr>
        <w:tab/>
        <w:t>בית המשפט אישר למבקשת לקבל פסיקתא על מנת לפנות לצדדים שלישיים כדי לחפש מסמכים חסרים לטענתה. הפסיקתא לא היתה מיועדת למשיב או לחברות שלו אלא לבנקים, לרשות המיסים ולגורמים חיצוניים. המבקשת "השחילה" לפסיקתא את שמות החברות ואת המשיב, ובית משפט קמא תיקן הפסיקתא בהתאם להוראותיו שלו.</w:t>
      </w:r>
    </w:p>
    <w:p w:rsidR="00E237C7" w:rsidRDefault="00E237C7" w:rsidP="00E237C7">
      <w:pPr>
        <w:spacing w:after="120" w:line="360" w:lineRule="auto"/>
        <w:ind w:left="1275" w:hanging="567"/>
        <w:jc w:val="both"/>
        <w:rPr>
          <w:rtl/>
        </w:rPr>
      </w:pPr>
      <w:r>
        <w:rPr>
          <w:rFonts w:hint="cs"/>
          <w:rtl/>
        </w:rPr>
        <w:t>ו.</w:t>
      </w:r>
      <w:r>
        <w:rPr>
          <w:rFonts w:hint="cs"/>
          <w:rtl/>
        </w:rPr>
        <w:tab/>
        <w:t xml:space="preserve">אף אם יצורפו החברות לפסיקתא, הרי שלא יועיל הדבר מאחר שכפי שכבר נקבע בהחלטה מיום 17.12.2019 לא ניתן לאתר את המסמכים החסרים. </w:t>
      </w:r>
    </w:p>
    <w:p w:rsidR="00E237C7" w:rsidRDefault="00E237C7" w:rsidP="00E237C7">
      <w:pPr>
        <w:spacing w:after="120" w:line="360" w:lineRule="auto"/>
        <w:ind w:left="1275" w:hanging="567"/>
        <w:jc w:val="both"/>
        <w:rPr>
          <w:rtl/>
        </w:rPr>
      </w:pPr>
      <w:r>
        <w:rPr>
          <w:rFonts w:hint="cs"/>
          <w:rtl/>
        </w:rPr>
        <w:t>ז.</w:t>
      </w:r>
      <w:r>
        <w:rPr>
          <w:rFonts w:hint="cs"/>
          <w:rtl/>
        </w:rPr>
        <w:tab/>
        <w:t xml:space="preserve">אף בכל הנוגע להשמטת חברות הביטוח מהפסיקתא, צדק בית משפט קמא מאחר שאיזון המשאבים בין הצדדים הסתיים במלואו והמשיב שילם למבקשת את כל דמי האיזון בגין זכויות </w:t>
      </w:r>
      <w:r>
        <w:rPr>
          <w:rFonts w:hint="cs"/>
          <w:rtl/>
        </w:rPr>
        <w:lastRenderedPageBreak/>
        <w:t>פנסיה/ קרן השתלמות וכל זכות אחרת ששנצברה בחברות הביטוח בתקופת הנישואין, כבר בשנת 2018.</w:t>
      </w:r>
    </w:p>
    <w:p w:rsidR="00E237C7" w:rsidRDefault="00E237C7" w:rsidP="00E237C7">
      <w:pPr>
        <w:spacing w:after="120" w:line="360" w:lineRule="auto"/>
        <w:jc w:val="both"/>
        <w:rPr>
          <w:b/>
          <w:bCs/>
          <w:u w:val="single"/>
          <w:rtl/>
        </w:rPr>
      </w:pPr>
    </w:p>
    <w:p w:rsidR="00E237C7" w:rsidRDefault="00E237C7" w:rsidP="00E237C7">
      <w:pPr>
        <w:spacing w:after="120" w:line="360" w:lineRule="auto"/>
        <w:jc w:val="both"/>
        <w:rPr>
          <w:b/>
          <w:bCs/>
          <w:u w:val="single"/>
          <w:rtl/>
        </w:rPr>
      </w:pPr>
      <w:r>
        <w:rPr>
          <w:b/>
          <w:bCs/>
          <w:u w:val="single"/>
          <w:rtl/>
        </w:rPr>
        <w:t>דיון והכרעה</w:t>
      </w:r>
    </w:p>
    <w:p w:rsidR="00E237C7" w:rsidRPr="00177C8A" w:rsidRDefault="00E237C7" w:rsidP="00E237C7">
      <w:pPr>
        <w:spacing w:after="120" w:line="360" w:lineRule="auto"/>
        <w:ind w:left="708" w:hanging="708"/>
        <w:jc w:val="both"/>
        <w:rPr>
          <w:rtl/>
        </w:rPr>
      </w:pPr>
      <w:r>
        <w:rPr>
          <w:rFonts w:hint="cs"/>
          <w:rtl/>
        </w:rPr>
        <w:t>20.</w:t>
      </w:r>
      <w:r>
        <w:rPr>
          <w:rFonts w:hint="cs"/>
          <w:rtl/>
        </w:rPr>
        <w:tab/>
      </w:r>
      <w:r w:rsidRPr="00D72DC8">
        <w:rPr>
          <w:rFonts w:ascii="David" w:hAnsi="David"/>
          <w:b/>
          <w:bCs/>
          <w:rtl/>
        </w:rPr>
        <w:t>לאחר עיון בבקשה ובתשובה ובתיק קמא, החלטתי ליתן רשות ערעור, לדון בערעור לגופו ולקבלו בחלקו, הכל כפי שיפורט להלן. זאת מכוח סמכותי על פי סעיפים 138(א)(2)+(5) לתקנות סדר הדין האזרחי, התשע"ט-2018.</w:t>
      </w:r>
      <w:r w:rsidRPr="00D72DC8">
        <w:rPr>
          <w:rFonts w:ascii="David" w:hAnsi="David"/>
          <w:rtl/>
        </w:rPr>
        <w:t xml:space="preserve"> </w:t>
      </w:r>
    </w:p>
    <w:p w:rsidR="00E237C7" w:rsidRDefault="00E237C7" w:rsidP="00E237C7">
      <w:pPr>
        <w:spacing w:after="120" w:line="360" w:lineRule="auto"/>
        <w:ind w:left="720" w:hanging="720"/>
        <w:jc w:val="both"/>
        <w:rPr>
          <w:rFonts w:ascii="David" w:hAnsi="David"/>
          <w:rtl/>
        </w:rPr>
      </w:pPr>
      <w:r>
        <w:rPr>
          <w:rFonts w:ascii="David" w:hAnsi="David" w:hint="cs"/>
          <w:rtl/>
        </w:rPr>
        <w:t>21.</w:t>
      </w:r>
      <w:r>
        <w:rPr>
          <w:rFonts w:ascii="David" w:hAnsi="David" w:hint="cs"/>
          <w:rtl/>
        </w:rPr>
        <w:tab/>
      </w:r>
      <w:r w:rsidRPr="00CD1557">
        <w:rPr>
          <w:rFonts w:ascii="David" w:hAnsi="David" w:hint="cs"/>
          <w:b/>
          <w:bCs/>
          <w:u w:val="single"/>
          <w:rtl/>
        </w:rPr>
        <w:t xml:space="preserve">באשר להחלטה מיום 5.7.2023 </w:t>
      </w:r>
      <w:r>
        <w:rPr>
          <w:rFonts w:ascii="David" w:hAnsi="David"/>
          <w:rtl/>
        </w:rPr>
        <w:t>–</w:t>
      </w:r>
      <w:r>
        <w:rPr>
          <w:rFonts w:ascii="David" w:hAnsi="David" w:hint="cs"/>
          <w:rtl/>
        </w:rPr>
        <w:t xml:space="preserve"> פסיקת שכר טרחה נוסף למומחה.</w:t>
      </w:r>
    </w:p>
    <w:p w:rsidR="00E237C7" w:rsidRDefault="00E237C7" w:rsidP="00E237C7">
      <w:pPr>
        <w:spacing w:after="120" w:line="360" w:lineRule="auto"/>
        <w:ind w:left="720" w:hanging="720"/>
        <w:jc w:val="both"/>
        <w:rPr>
          <w:rFonts w:ascii="David" w:hAnsi="David"/>
          <w:rtl/>
        </w:rPr>
      </w:pPr>
      <w:r>
        <w:rPr>
          <w:rFonts w:ascii="David" w:hAnsi="David"/>
          <w:rtl/>
        </w:rPr>
        <w:tab/>
      </w:r>
      <w:r>
        <w:rPr>
          <w:rFonts w:ascii="David" w:hAnsi="David" w:hint="cs"/>
          <w:rtl/>
        </w:rPr>
        <w:t>באופן חריג המשיב בתשובתו מסכים עם טרוניית המבקשת לענין תוספת השכר למומחה, כפי שאושרה על ידי השופטת קמא.</w:t>
      </w:r>
    </w:p>
    <w:p w:rsidR="00E237C7" w:rsidRDefault="00E237C7" w:rsidP="00E237C7">
      <w:pPr>
        <w:spacing w:after="120" w:line="360" w:lineRule="auto"/>
        <w:ind w:left="720" w:hanging="720"/>
        <w:jc w:val="both"/>
        <w:rPr>
          <w:rFonts w:ascii="David" w:hAnsi="David"/>
          <w:rtl/>
        </w:rPr>
      </w:pPr>
      <w:r>
        <w:rPr>
          <w:rFonts w:ascii="David" w:hAnsi="David" w:hint="cs"/>
          <w:rtl/>
        </w:rPr>
        <w:t>22.</w:t>
      </w:r>
      <w:r>
        <w:rPr>
          <w:rFonts w:ascii="David" w:hAnsi="David" w:hint="cs"/>
          <w:rtl/>
        </w:rPr>
        <w:tab/>
        <w:t xml:space="preserve">שוכנעתי כי לנוכח שכר הטרחה שכבר שולם למומחה עד כה, כ-100,000 ₪ (ואולי אף מעבר לכך), אין להסתפק בפירוט </w:t>
      </w:r>
      <w:r w:rsidRPr="006141F2">
        <w:rPr>
          <w:rFonts w:ascii="David" w:hAnsi="David" w:hint="cs"/>
          <w:rtl/>
        </w:rPr>
        <w:t>הלאקוני</w:t>
      </w:r>
      <w:r w:rsidRPr="00605A16">
        <w:rPr>
          <w:rFonts w:ascii="David" w:hAnsi="David" w:hint="cs"/>
          <w:rtl/>
        </w:rPr>
        <w:t xml:space="preserve"> </w:t>
      </w:r>
      <w:r>
        <w:rPr>
          <w:rFonts w:ascii="David" w:hAnsi="David" w:hint="cs"/>
          <w:rtl/>
        </w:rPr>
        <w:t xml:space="preserve">של שעות העבודה של המומחה </w:t>
      </w:r>
      <w:r w:rsidRPr="006141F2">
        <w:rPr>
          <w:rFonts w:ascii="David" w:hAnsi="David" w:hint="cs"/>
          <w:rtl/>
        </w:rPr>
        <w:t>וצוותו</w:t>
      </w:r>
      <w:r>
        <w:rPr>
          <w:rFonts w:ascii="David" w:hAnsi="David" w:hint="cs"/>
          <w:rtl/>
        </w:rPr>
        <w:t xml:space="preserve"> (כפי שנעשה בתגובת המומחה שהוגשה לתיק קמא מיום 28.2.2023),  ויש מקום לבירור מעמיק יותר מול המומחה את דרישת שכר הטרחה הנוסף.</w:t>
      </w:r>
    </w:p>
    <w:p w:rsidR="00E237C7" w:rsidRDefault="00E237C7" w:rsidP="00E237C7">
      <w:pPr>
        <w:spacing w:after="120" w:line="360" w:lineRule="auto"/>
        <w:ind w:left="720" w:hanging="720"/>
        <w:jc w:val="both"/>
        <w:rPr>
          <w:rFonts w:ascii="David" w:hAnsi="David"/>
          <w:rtl/>
        </w:rPr>
      </w:pPr>
      <w:r>
        <w:rPr>
          <w:rFonts w:ascii="David" w:hAnsi="David" w:hint="cs"/>
          <w:rtl/>
        </w:rPr>
        <w:t>23.</w:t>
      </w:r>
      <w:r>
        <w:rPr>
          <w:rFonts w:ascii="David" w:hAnsi="David" w:hint="cs"/>
          <w:rtl/>
        </w:rPr>
        <w:tab/>
        <w:t xml:space="preserve">במקרה חריג זה, יש לקיים בהקדם דיון שיעסוק גם בדרישת שכר הטרחה הנוסף שדורש המומחה, לשמוע את טענות הצדדים בנדון (טענות המבקשת כפי שבאו לידי ביטוי ברמ"ש זה, וטענות המשיב בנדון בתגובתו לבית משפט קמא מיום 1.3.2023) ואת עמדת המומחה, שיידרש לפירוט נוסף של מהות העבודה הנוספת, מעבר למה </w:t>
      </w:r>
      <w:r w:rsidRPr="003907D6">
        <w:rPr>
          <w:rFonts w:ascii="David" w:hAnsi="David" w:hint="cs"/>
          <w:rtl/>
        </w:rPr>
        <w:t>שנדרש</w:t>
      </w:r>
      <w:r>
        <w:rPr>
          <w:rFonts w:ascii="David" w:hAnsi="David" w:hint="cs"/>
          <w:rtl/>
        </w:rPr>
        <w:t xml:space="preserve"> ופורט עד כה.</w:t>
      </w:r>
    </w:p>
    <w:p w:rsidR="00E237C7" w:rsidRDefault="00E237C7" w:rsidP="00E237C7">
      <w:pPr>
        <w:spacing w:after="120" w:line="360" w:lineRule="auto"/>
        <w:ind w:left="720" w:hanging="720"/>
        <w:jc w:val="both"/>
        <w:rPr>
          <w:rFonts w:ascii="David" w:hAnsi="David"/>
          <w:b/>
          <w:bCs/>
          <w:rtl/>
        </w:rPr>
      </w:pPr>
      <w:r>
        <w:rPr>
          <w:rFonts w:ascii="David" w:hAnsi="David" w:hint="cs"/>
          <w:rtl/>
        </w:rPr>
        <w:t>24.</w:t>
      </w:r>
      <w:r>
        <w:rPr>
          <w:rFonts w:ascii="David" w:hAnsi="David" w:hint="cs"/>
          <w:rtl/>
        </w:rPr>
        <w:tab/>
      </w:r>
      <w:r w:rsidRPr="00CD1557">
        <w:rPr>
          <w:rFonts w:ascii="David" w:hAnsi="David" w:hint="cs"/>
          <w:b/>
          <w:bCs/>
          <w:rtl/>
        </w:rPr>
        <w:t xml:space="preserve">לאחר שמיעת כל אלה </w:t>
      </w:r>
      <w:r w:rsidRPr="00CD1557">
        <w:rPr>
          <w:rFonts w:ascii="David" w:hAnsi="David"/>
          <w:b/>
          <w:bCs/>
          <w:rtl/>
        </w:rPr>
        <w:t>–</w:t>
      </w:r>
      <w:r w:rsidRPr="00CD1557">
        <w:rPr>
          <w:rFonts w:ascii="David" w:hAnsi="David" w:hint="cs"/>
          <w:b/>
          <w:bCs/>
          <w:rtl/>
        </w:rPr>
        <w:t xml:space="preserve"> יחליט בית המשפט שוב בשאלת דרישת השכר הנוספת של המומחה, בהתאם לשיקול דעתו ובהחלטה מנומקת.</w:t>
      </w:r>
    </w:p>
    <w:p w:rsidR="00E237C7" w:rsidRPr="00CD1557" w:rsidRDefault="00E237C7" w:rsidP="00E237C7">
      <w:pPr>
        <w:spacing w:after="120" w:line="360" w:lineRule="auto"/>
        <w:ind w:left="720" w:hanging="720"/>
        <w:jc w:val="both"/>
        <w:rPr>
          <w:rFonts w:ascii="David" w:hAnsi="David"/>
          <w:rtl/>
        </w:rPr>
      </w:pPr>
      <w:r>
        <w:rPr>
          <w:rFonts w:ascii="David" w:hAnsi="David" w:hint="cs"/>
          <w:rtl/>
        </w:rPr>
        <w:t>25.</w:t>
      </w:r>
      <w:r>
        <w:rPr>
          <w:rFonts w:ascii="David" w:hAnsi="David" w:hint="cs"/>
          <w:b/>
          <w:bCs/>
          <w:rtl/>
        </w:rPr>
        <w:tab/>
      </w:r>
      <w:r>
        <w:rPr>
          <w:rFonts w:ascii="David" w:hAnsi="David" w:hint="cs"/>
          <w:b/>
          <w:bCs/>
          <w:u w:val="single"/>
          <w:rtl/>
        </w:rPr>
        <w:t>באשר לשינוי ההחלטות בנוגע לפסקת</w:t>
      </w:r>
      <w:r w:rsidRPr="00CD1557">
        <w:rPr>
          <w:rFonts w:ascii="David" w:hAnsi="David" w:hint="cs"/>
          <w:b/>
          <w:bCs/>
          <w:u w:val="single"/>
          <w:rtl/>
        </w:rPr>
        <w:t>ות הנוגעות לגילוי מסמכים</w:t>
      </w:r>
      <w:r>
        <w:rPr>
          <w:rFonts w:ascii="David" w:hAnsi="David" w:hint="cs"/>
          <w:rtl/>
        </w:rPr>
        <w:t xml:space="preserve"> </w:t>
      </w:r>
      <w:r>
        <w:rPr>
          <w:rFonts w:ascii="David" w:hAnsi="David"/>
          <w:rtl/>
        </w:rPr>
        <w:t>–</w:t>
      </w:r>
      <w:r>
        <w:rPr>
          <w:rFonts w:ascii="David" w:hAnsi="David" w:hint="cs"/>
          <w:rtl/>
        </w:rPr>
        <w:t xml:space="preserve"> החלטה מיום 14.8.2023.</w:t>
      </w:r>
    </w:p>
    <w:p w:rsidR="00E237C7" w:rsidRDefault="00E237C7" w:rsidP="00E237C7">
      <w:pPr>
        <w:spacing w:after="120" w:line="360" w:lineRule="auto"/>
        <w:ind w:left="720" w:hanging="720"/>
        <w:jc w:val="both"/>
        <w:rPr>
          <w:rFonts w:ascii="David" w:hAnsi="David"/>
          <w:rtl/>
        </w:rPr>
      </w:pPr>
      <w:r>
        <w:rPr>
          <w:rFonts w:ascii="David" w:hAnsi="David" w:hint="cs"/>
          <w:rtl/>
        </w:rPr>
        <w:t>26.</w:t>
      </w:r>
      <w:r>
        <w:rPr>
          <w:rFonts w:ascii="David" w:hAnsi="David" w:hint="cs"/>
          <w:rtl/>
        </w:rPr>
        <w:tab/>
        <w:t>עצם שינוי הפסיקתות על ידי השופטת קמא מלמד כי סוגיה זאת, למרות החלטות העבר בה, לא לובנה עד תום.</w:t>
      </w:r>
    </w:p>
    <w:p w:rsidR="00E237C7" w:rsidRDefault="00E237C7" w:rsidP="00E237C7">
      <w:pPr>
        <w:spacing w:after="120" w:line="360" w:lineRule="auto"/>
        <w:ind w:left="720" w:hanging="720"/>
        <w:jc w:val="both"/>
        <w:rPr>
          <w:rFonts w:ascii="David" w:hAnsi="David"/>
          <w:rtl/>
        </w:rPr>
      </w:pPr>
      <w:r>
        <w:rPr>
          <w:rFonts w:ascii="David" w:hAnsi="David" w:hint="cs"/>
          <w:rtl/>
        </w:rPr>
        <w:t>27.</w:t>
      </w:r>
      <w:r>
        <w:rPr>
          <w:rFonts w:ascii="David" w:hAnsi="David" w:hint="cs"/>
          <w:rtl/>
        </w:rPr>
        <w:tab/>
        <w:t xml:space="preserve">לא ברור מה עוד חסר לצורך השלמת עבודת המומחה, ומי הם המוסדות היכולים לספק חסרים אלה. </w:t>
      </w:r>
    </w:p>
    <w:p w:rsidR="00E237C7" w:rsidRDefault="00E237C7" w:rsidP="00E237C7">
      <w:pPr>
        <w:spacing w:after="120" w:line="360" w:lineRule="auto"/>
        <w:ind w:left="720" w:hanging="720"/>
        <w:jc w:val="both"/>
        <w:rPr>
          <w:rFonts w:ascii="David" w:hAnsi="David"/>
          <w:rtl/>
        </w:rPr>
      </w:pPr>
      <w:r>
        <w:rPr>
          <w:rFonts w:ascii="David" w:hAnsi="David" w:hint="cs"/>
          <w:rtl/>
        </w:rPr>
        <w:t>28.</w:t>
      </w:r>
      <w:r>
        <w:rPr>
          <w:rFonts w:ascii="David" w:hAnsi="David" w:hint="cs"/>
          <w:rtl/>
        </w:rPr>
        <w:tab/>
        <w:t xml:space="preserve">בנדון טענות הצדדים </w:t>
      </w:r>
      <w:r w:rsidRPr="00317C2C">
        <w:rPr>
          <w:rFonts w:ascii="David" w:hAnsi="David" w:hint="cs"/>
          <w:rtl/>
        </w:rPr>
        <w:t>בכתבי טענותיהם ברמ"ש זה מלמדות</w:t>
      </w:r>
      <w:r>
        <w:rPr>
          <w:rFonts w:ascii="David" w:hAnsi="David" w:hint="cs"/>
          <w:rtl/>
        </w:rPr>
        <w:t xml:space="preserve"> על הערפול הקיים בנקודה זאת.</w:t>
      </w:r>
    </w:p>
    <w:p w:rsidR="00E237C7" w:rsidRDefault="00E237C7" w:rsidP="00E237C7">
      <w:pPr>
        <w:spacing w:after="120" w:line="360" w:lineRule="auto"/>
        <w:ind w:left="720" w:hanging="720"/>
        <w:jc w:val="both"/>
        <w:rPr>
          <w:rFonts w:ascii="David" w:hAnsi="David"/>
          <w:rtl/>
        </w:rPr>
      </w:pPr>
      <w:r>
        <w:rPr>
          <w:rFonts w:ascii="David" w:hAnsi="David" w:hint="cs"/>
          <w:rtl/>
        </w:rPr>
        <w:t>29.</w:t>
      </w:r>
      <w:r>
        <w:rPr>
          <w:rFonts w:ascii="David" w:hAnsi="David" w:hint="cs"/>
          <w:rtl/>
        </w:rPr>
        <w:tab/>
        <w:t xml:space="preserve">במצב דברים זה, יש מקום לקיים דיון בהקדם בנוכחות הצדדים והמומחה (דיון שממילא אמור להתקיים לנוכח שאלת שכר הטרחה הנוסף שדורש המומחה, כדברינו לעיל), במסגרתו יבהיר המומחה מהם המסמכים החסרים להשלמת חוות דעתו, אם בכלל, ומהם המוסדות מהם ניתן לקבל </w:t>
      </w:r>
      <w:r w:rsidRPr="00317C2C">
        <w:rPr>
          <w:rFonts w:ascii="David" w:hAnsi="David" w:hint="cs"/>
          <w:rtl/>
        </w:rPr>
        <w:t>מסמכים אלה, לרבות התייחסות לחברות המשיב.</w:t>
      </w:r>
    </w:p>
    <w:p w:rsidR="00E237C7" w:rsidRDefault="00E237C7" w:rsidP="00E237C7">
      <w:pPr>
        <w:spacing w:after="120" w:line="360" w:lineRule="auto"/>
        <w:ind w:left="720" w:hanging="720"/>
        <w:jc w:val="both"/>
        <w:rPr>
          <w:rFonts w:ascii="David" w:hAnsi="David"/>
          <w:rtl/>
        </w:rPr>
      </w:pPr>
      <w:r>
        <w:rPr>
          <w:rFonts w:ascii="David" w:hAnsi="David" w:hint="cs"/>
          <w:rtl/>
        </w:rPr>
        <w:lastRenderedPageBreak/>
        <w:t>30.</w:t>
      </w:r>
      <w:r>
        <w:rPr>
          <w:rFonts w:ascii="David" w:hAnsi="David" w:hint="cs"/>
          <w:rtl/>
        </w:rPr>
        <w:tab/>
        <w:t>ככל שהמבקשת תסבור כי יש מקום לגילוי מסמכים נוספים, מעבר לאלה שפירט המומחה,  תפרט מסמכים אלה באותה ישיבה בנוכחות המומחה, שיתייחס בנוכחות הצדדים.</w:t>
      </w:r>
    </w:p>
    <w:p w:rsidR="00E237C7" w:rsidRDefault="00E237C7" w:rsidP="00E237C7">
      <w:pPr>
        <w:spacing w:after="120" w:line="360" w:lineRule="auto"/>
        <w:ind w:left="720" w:hanging="720"/>
        <w:jc w:val="both"/>
        <w:rPr>
          <w:rFonts w:ascii="David" w:hAnsi="David"/>
          <w:rtl/>
        </w:rPr>
      </w:pPr>
      <w:r>
        <w:rPr>
          <w:rFonts w:ascii="David" w:hAnsi="David" w:hint="cs"/>
          <w:rtl/>
        </w:rPr>
        <w:t>31.</w:t>
      </w:r>
      <w:r>
        <w:rPr>
          <w:rFonts w:ascii="David" w:hAnsi="David"/>
          <w:rtl/>
        </w:rPr>
        <w:tab/>
      </w:r>
      <w:r>
        <w:rPr>
          <w:rFonts w:ascii="David" w:hAnsi="David" w:hint="cs"/>
          <w:rtl/>
        </w:rPr>
        <w:t xml:space="preserve">סבורני כי ליבון כזה בנוכחות הצדדים והמומחה, יועיל לקידום הדיון וסיום תיק זה, שנמשך מעל ומעבר. </w:t>
      </w:r>
    </w:p>
    <w:p w:rsidR="00E237C7" w:rsidRDefault="00E237C7" w:rsidP="00E237C7">
      <w:pPr>
        <w:spacing w:after="120" w:line="360" w:lineRule="auto"/>
        <w:ind w:left="720" w:hanging="720"/>
        <w:jc w:val="both"/>
        <w:rPr>
          <w:rFonts w:ascii="David" w:hAnsi="David"/>
          <w:rtl/>
        </w:rPr>
      </w:pPr>
      <w:r>
        <w:rPr>
          <w:rFonts w:ascii="David" w:hAnsi="David" w:hint="cs"/>
          <w:rtl/>
        </w:rPr>
        <w:t>32.</w:t>
      </w:r>
      <w:r>
        <w:rPr>
          <w:rFonts w:ascii="David" w:hAnsi="David" w:hint="cs"/>
          <w:rtl/>
        </w:rPr>
        <w:tab/>
        <w:t xml:space="preserve">לאחר דיון זה תשקול השופטת קמא שוב את שאלת גילוי המסמכים, ותורה מחדש על היקפם ומהותם; בהתאם תוגש פסיקתא נוספת לחתימתה, בה יפורטו אף המוסדות אליהם תופנה הפסיקתא. </w:t>
      </w:r>
    </w:p>
    <w:p w:rsidR="00E237C7" w:rsidRDefault="00E237C7" w:rsidP="00E237C7">
      <w:pPr>
        <w:spacing w:after="120" w:line="360" w:lineRule="auto"/>
        <w:ind w:left="720" w:hanging="720"/>
        <w:jc w:val="both"/>
        <w:rPr>
          <w:rFonts w:ascii="David" w:hAnsi="David"/>
          <w:rtl/>
        </w:rPr>
      </w:pPr>
      <w:r>
        <w:rPr>
          <w:rFonts w:ascii="David" w:hAnsi="David" w:hint="cs"/>
          <w:rtl/>
        </w:rPr>
        <w:t>33.</w:t>
      </w:r>
      <w:r>
        <w:rPr>
          <w:rFonts w:ascii="David" w:hAnsi="David" w:hint="cs"/>
          <w:rtl/>
        </w:rPr>
        <w:tab/>
        <w:t>בנסיבות הענין אין צו להוצאות.</w:t>
      </w:r>
    </w:p>
    <w:p w:rsidR="00694556" w:rsidRPr="00C770E3" w:rsidRDefault="00E237C7" w:rsidP="00974EB6">
      <w:pPr>
        <w:spacing w:after="120" w:line="360" w:lineRule="auto"/>
        <w:ind w:left="720" w:hanging="720"/>
        <w:jc w:val="both"/>
        <w:rPr>
          <w:rFonts w:ascii="Arial" w:hAnsi="Arial"/>
          <w:noProof w:val="0"/>
          <w:rtl/>
        </w:rPr>
      </w:pPr>
      <w:r>
        <w:rPr>
          <w:rFonts w:ascii="David" w:hAnsi="David" w:hint="cs"/>
          <w:rtl/>
        </w:rPr>
        <w:t>34.</w:t>
      </w:r>
      <w:r>
        <w:rPr>
          <w:rFonts w:ascii="David" w:hAnsi="David" w:hint="cs"/>
          <w:rtl/>
        </w:rPr>
        <w:tab/>
        <w:t xml:space="preserve">ערבון שהופקד בהליך יוחזר למבקשת באמצעות באת כוחה.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19200A" w:rsidRDefault="0019200A" w:rsidP="0019200A">
      <w:pPr>
        <w:spacing w:line="360" w:lineRule="auto"/>
        <w:jc w:val="both"/>
        <w:rPr>
          <w:rFonts w:ascii="Arial" w:hAnsi="Arial"/>
          <w:b/>
          <w:bCs/>
          <w:noProof w:val="0"/>
          <w:rtl/>
        </w:rPr>
      </w:pPr>
      <w:r w:rsidRPr="0019200A">
        <w:rPr>
          <w:rFonts w:ascii="Arial" w:hAnsi="Arial" w:hint="cs"/>
          <w:b/>
          <w:bCs/>
          <w:noProof w:val="0"/>
          <w:rtl/>
        </w:rPr>
        <w:t>המזכירות תעביר פסק דין זה לצדדים.</w:t>
      </w:r>
    </w:p>
    <w:p w:rsidR="0019200A" w:rsidRPr="0019200A" w:rsidRDefault="0019200A" w:rsidP="0019200A">
      <w:pPr>
        <w:spacing w:line="360" w:lineRule="auto"/>
        <w:jc w:val="both"/>
        <w:rPr>
          <w:rFonts w:ascii="Arial" w:hAnsi="Arial"/>
          <w:b/>
          <w:bCs/>
          <w:noProof w:val="0"/>
          <w:rtl/>
        </w:rPr>
      </w:pPr>
    </w:p>
    <w:p w:rsidR="0019200A" w:rsidRDefault="0019200A" w:rsidP="0019200A">
      <w:pPr>
        <w:spacing w:line="360" w:lineRule="auto"/>
        <w:jc w:val="both"/>
        <w:rPr>
          <w:rFonts w:ascii="Arial" w:hAnsi="Arial"/>
          <w:b/>
          <w:bCs/>
          <w:noProof w:val="0"/>
          <w:rtl/>
        </w:rPr>
      </w:pPr>
      <w:r w:rsidRPr="0019200A">
        <w:rPr>
          <w:rFonts w:ascii="Arial" w:hAnsi="Arial" w:hint="cs"/>
          <w:b/>
          <w:bCs/>
          <w:noProof w:val="0"/>
          <w:rtl/>
        </w:rPr>
        <w:t>פסק דין זה מותר לפרסום תוך השמטת שמות הצדדים וכל פרט מזהה אחר.</w:t>
      </w:r>
    </w:p>
    <w:p w:rsidR="00974EB6" w:rsidRDefault="00974EB6" w:rsidP="0019200A">
      <w:pPr>
        <w:spacing w:line="360" w:lineRule="auto"/>
        <w:jc w:val="both"/>
        <w:rPr>
          <w:rFonts w:ascii="Arial" w:hAnsi="Arial"/>
          <w:b/>
          <w:bCs/>
          <w:noProof w:val="0"/>
          <w:rtl/>
        </w:rPr>
      </w:pPr>
    </w:p>
    <w:p w:rsidR="00974EB6" w:rsidRPr="0019200A" w:rsidRDefault="00974EB6" w:rsidP="0019200A">
      <w:pPr>
        <w:spacing w:line="360" w:lineRule="auto"/>
        <w:jc w:val="both"/>
        <w:rPr>
          <w:rFonts w:ascii="Arial" w:hAnsi="Arial"/>
          <w:b/>
          <w:bCs/>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2023</w:t>
          </w:r>
        </w:sdtContent>
      </w:sdt>
      <w:r w:rsidR="00005C8B">
        <w:rPr>
          <w:rFonts w:ascii="Arial" w:hAnsi="Arial"/>
          <w:noProof w:val="0"/>
          <w:rtl/>
        </w:rPr>
        <w:t>, בהעדר הצדדים.</w:t>
      </w:r>
    </w:p>
    <w:p w:rsidR="00C43648" w:rsidRDefault="001A487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05154926"/>
        </w:sdtPr>
        <w:sdtEndPr/>
        <w:sdtContent>
          <w:r w:rsidR="00AF10D5">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9200A">
      <w:headerReference w:type="even" r:id="rId10"/>
      <w:headerReference w:type="default" r:id="rId11"/>
      <w:footerReference w:type="even" r:id="rId12"/>
      <w:footerReference w:type="default" r:id="rId13"/>
      <w:headerReference w:type="first" r:id="rId14"/>
      <w:footerReference w:type="first" r:id="rId15"/>
      <w:pgSz w:w="11907" w:h="16840" w:code="9"/>
      <w:pgMar w:top="1440" w:right="1134"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878" w:rsidRDefault="001A4878">
      <w:r>
        <w:separator/>
      </w:r>
    </w:p>
  </w:endnote>
  <w:endnote w:type="continuationSeparator" w:id="0">
    <w:p w:rsidR="001A4878" w:rsidRDefault="001A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C03" w:rsidRDefault="00F62C0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62C0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62C03">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C03" w:rsidRDefault="00F62C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878" w:rsidRDefault="001A4878">
      <w:r>
        <w:separator/>
      </w:r>
    </w:p>
  </w:footnote>
  <w:footnote w:type="continuationSeparator" w:id="0">
    <w:p w:rsidR="001A4878" w:rsidRDefault="001A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C03" w:rsidRDefault="00F62C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19200A" w:rsidRDefault="001A4878" w:rsidP="00F32B9C">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47906-09-23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F32B9C">
                <w:rPr>
                  <w:rFonts w:hint="cs"/>
                  <w:b/>
                  <w:bCs/>
                  <w:noProof w:val="0"/>
                  <w:sz w:val="26"/>
                  <w:szCs w:val="26"/>
                  <w:rtl/>
                </w:rPr>
                <w:t>א'</w:t>
              </w:r>
              <w:r w:rsidR="00B859C5">
                <w:rPr>
                  <w:b/>
                  <w:bCs/>
                  <w:noProof w:val="0"/>
                  <w:sz w:val="26"/>
                  <w:szCs w:val="26"/>
                  <w:rtl/>
                </w:rPr>
                <w:t xml:space="preserve"> נ' </w:t>
              </w:r>
              <w:r w:rsidR="00F32B9C">
                <w:rPr>
                  <w:rFonts w:hint="cs"/>
                  <w:b/>
                  <w:bCs/>
                  <w:noProof w:val="0"/>
                  <w:sz w:val="26"/>
                  <w:szCs w:val="26"/>
                  <w:rtl/>
                </w:rPr>
                <w:t>א'</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C03" w:rsidRDefault="00F62C0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207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20791&amp;lt;/CaseID&amp;gt;_x000d__x000a_        &amp;lt;CaseMonth&amp;gt;9&amp;lt;/CaseMonth&amp;gt;_x000d__x000a_        &amp;lt;CaseYear&amp;gt;2023&amp;lt;/CaseYear&amp;gt;_x000d__x000a_        &amp;lt;CaseNumber&amp;gt;47906&amp;lt;/CaseNumber&amp;gt;_x000d__x000a_        &amp;lt;NumeratorGroupID&amp;gt;1&amp;lt;/NumeratorGroupID&amp;gt;_x000d__x000a_        &amp;lt;CaseName&amp;gt;אלטיט נ&amp;#39; אלטיט&amp;lt;/CaseName&amp;gt;_x000d__x000a_        &amp;lt;CourtID&amp;gt;13&amp;lt;/CourtID&amp;gt;_x000d__x000a_        &amp;lt;CaseTypeID&amp;gt;10074&amp;lt;/CaseTypeID&amp;gt;_x000d__x000a_        &amp;lt;CaseInterestID&amp;gt;10508&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7906-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21T11:22: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שופט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20791&amp;lt;/CaseID&amp;gt;_x000d__x000a_        &amp;lt;CaseMonth&amp;gt;9&amp;lt;/CaseMonth&amp;gt;_x000d__x000a_        &amp;lt;CaseYear&amp;gt;2023&amp;lt;/CaseYear&amp;gt;_x000d__x000a_        &amp;lt;CaseNumber&amp;gt;47906&amp;lt;/CaseNumber&amp;gt;_x000d__x000a_        &amp;lt;NumeratorGroupID&amp;gt;1&amp;lt;/NumeratorGroupID&amp;gt;_x000d__x000a_        &amp;lt;CaseName&amp;gt;אלטיט נ&amp;#39; אלטיט&amp;lt;/CaseName&amp;gt;_x000d__x000a_        &amp;lt;CourtID&amp;gt;13&amp;lt;/CourtID&amp;gt;_x000d__x000a_        &amp;lt;CaseTypeID&amp;gt;10074&amp;lt;/CaseTypeID&amp;gt;_x000d__x000a_        &amp;lt;CaseInterestID&amp;gt;10508&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7906-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09-21T11:22: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שופט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86396&amp;lt;/DecisionID&amp;gt;_x000d__x000a_        &amp;lt;DecisionName&amp;gt;פסק דין  שניתנה ע&amp;quot;י  חננאל שרעבי&amp;lt;/DecisionName&amp;gt;_x000d__x000a_        &amp;lt;DecisionStatusID&amp;gt;1&amp;lt;/DecisionStatusID&amp;gt;_x000d__x000a_        &amp;lt;DecisionStatusChangeDate&amp;gt;2023-10-10T13:26:00.917+03:00&amp;lt;/DecisionStatusChangeDate&amp;gt;_x000d__x000a_        &amp;lt;DecisionSignatureDate&amp;gt;2023-10-10T13:07:45.073+03:00&amp;lt;/DecisionSignatureDate&amp;gt;_x000d__x000a_        &amp;lt;DecisionSignatureUserID&amp;gt;056479827@GOV.IL&amp;lt;/DecisionSignatureUserID&amp;gt;_x000d__x000a_        &amp;lt;DecisionCreateDate&amp;gt;2023-10-10T13:09:29.303+03:00&amp;lt;/DecisionCreateDate&amp;gt;_x000d__x000a_        &amp;lt;DecisionChangeDate&amp;gt;2023-10-10T13:26:01.0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25752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486396&amp;lt;/DecisionID&amp;gt;_x000d__x000a_        &amp;lt;CaseID&amp;gt;80620791&amp;lt;/CaseID&amp;gt;_x000d__x000a_        &amp;lt;IsOriginal&amp;gt;true&amp;lt;/IsOriginal&amp;gt;_x000d__x000a_        &amp;lt;IsDeleted&amp;gt;false&amp;lt;/IsDeleted&amp;gt;_x000d__x000a_        &amp;lt;CaseName&amp;gt;אלטיט נ&amp;#39; אלטיט&amp;lt;/CaseName&amp;gt;_x000d__x000a_        &amp;lt;CaseDisplayIdentifier&amp;gt;47906-09-23 רמ&amp;quot;ש&amp;lt;/CaseDisplayIdentifier&amp;gt;_x000d__x000a_      &amp;lt;/dt_DecisionCase&amp;gt;_x000d__x000a_    &amp;lt;/DecisionDS&amp;gt;_x000d__x000a_  &amp;lt;/diffgr:diffgram&amp;gt;_x000d__x000a_&amp;lt;/DecisionDS&amp;gt;"/>
    <w:docVar w:name="DecisionID" w:val="14748639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3E61"/>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2244"/>
    <w:rsid w:val="001367BC"/>
    <w:rsid w:val="00144D2A"/>
    <w:rsid w:val="0014653E"/>
    <w:rsid w:val="00180519"/>
    <w:rsid w:val="00191C82"/>
    <w:rsid w:val="0019200A"/>
    <w:rsid w:val="001A4878"/>
    <w:rsid w:val="001C4003"/>
    <w:rsid w:val="001D4DBF"/>
    <w:rsid w:val="001E75CA"/>
    <w:rsid w:val="002265FF"/>
    <w:rsid w:val="00271B56"/>
    <w:rsid w:val="00272E32"/>
    <w:rsid w:val="00280E47"/>
    <w:rsid w:val="002C344E"/>
    <w:rsid w:val="002E75E9"/>
    <w:rsid w:val="002F0B1E"/>
    <w:rsid w:val="00307A6A"/>
    <w:rsid w:val="00307C40"/>
    <w:rsid w:val="00320433"/>
    <w:rsid w:val="003230C7"/>
    <w:rsid w:val="00327E50"/>
    <w:rsid w:val="0033597A"/>
    <w:rsid w:val="00343D89"/>
    <w:rsid w:val="00362612"/>
    <w:rsid w:val="0036743F"/>
    <w:rsid w:val="003679E8"/>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F0F54"/>
    <w:rsid w:val="00520898"/>
    <w:rsid w:val="005230B5"/>
    <w:rsid w:val="00523621"/>
    <w:rsid w:val="00524986"/>
    <w:rsid w:val="005268F6"/>
    <w:rsid w:val="00534284"/>
    <w:rsid w:val="00547DB7"/>
    <w:rsid w:val="00557717"/>
    <w:rsid w:val="00576A86"/>
    <w:rsid w:val="005945EB"/>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2292"/>
    <w:rsid w:val="0094424E"/>
    <w:rsid w:val="00955642"/>
    <w:rsid w:val="009622DF"/>
    <w:rsid w:val="0096493F"/>
    <w:rsid w:val="00967DFF"/>
    <w:rsid w:val="00974EB6"/>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10D5"/>
    <w:rsid w:val="00AF7FDA"/>
    <w:rsid w:val="00B527A1"/>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1070B"/>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37C7"/>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32B9C"/>
    <w:rsid w:val="00F44D1D"/>
    <w:rsid w:val="00F62C03"/>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E237C7"/>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A2AC7" w:rsidP="004A2AC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A2AC7"/>
    <w:rsid w:val="005157ED"/>
    <w:rsid w:val="005171E8"/>
    <w:rsid w:val="00556D67"/>
    <w:rsid w:val="00606A29"/>
    <w:rsid w:val="006319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A2AC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A2AC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עינבר אלטיט</FullName>
        <FirstName>עינבר</FirstName>
        <LastName>אלטיט</LastName>
        <PartyPropertyName/>
        <AuthenticationTypeAndNumber>ת"ז 040491516</AuthenticationTypeAndNumber>
        <RepresentatedOrRepresentativesNames>מורן סמון</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260840084</CasePartyID>
        <PartyTypeID>1</PartyTypeID>
        <ActivityStatusID>1</ActivityStatusID>
        <PartyAliasID>3</PartyAliasID>
        <PartyAliasName>מבקש</PartyAliasName>
        <OrdinalNumber>1</OrdinalNumber>
        <LegalEntityID>15795396</LegalEntityID>
        <CaseLegalEntityID>126027911</CaseLegalEntityID>
        <AuthenticationTypeID>1</AuthenticationTypeID>
        <AuthenticationTypeName>ת"ז</AuthenticationTypeName>
        <LegalEntityNumber>040491516</LegalEntityNumber>
        <IsMainPartyType>true</IsMainPartyType>
        <CaseDisplayIdentifier>47906-09-23</CaseDisplayIdentifier>
        <CaseTypeID>10074</CaseTypeID>
        <CaseTypeName>רשות ערעור משפחה (רמ"ש)</CaseTypeName>
        <CaseName>אלטיט נ' אלטיט</CaseName>
        <FullAddress>שכטר 37 חיפה </FullAddress>
        <EmailAddress>inbarmakeup@walla.com</EmailAddress>
        <MotionID>0</MotionID>
        <CasePleaID>0</CasePleaID>
        <BirthDate>1980-11-05T00:00:00+02:00</BirthDate>
        <FatherName>חיים</FatherName>
        <LinkedCaseID>0</LinkedCaseID>
        <PartyID>1</PartyID>
        <CasePartyCategoryID>2</CasePartyCategoryID>
        <LegalEntityAddressID>88435691</LegalEntityAddressID>
        <LegalEntityEmailAddressID>68071721</LegalEntityEmailAddressID>
        <PleaTypeID>5</PleaTypeID>
        <GroupPartyAlias>מבקשים</GroupPartyAlias>
        <IsConverted>false</IsConverted>
        <LegalEntityRegisteredNameID>3231567</LegalEntityRegisteredNameID>
        <LegalEntityNameID>74555783</LegalEntityNameID>
        <RepresentatedNamesOfAssistant/>
        <LegalEntityTypeID>1</LegalEntityTypeID>
        <IsVerdictExists>false</IsVerdictExists>
        <IsAsirAzir>false</IsAsirAzir>
        <IsPublicationProhibited>false</IsPublicationProhibited>
        <PublicationProhibitedFullName>עינבר אלטיט</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מורן סמון</FullName>
        <FirstName>מורן</FirstName>
        <LastName>סמון</LastName>
        <PartyPropertyName/>
        <AuthenticationTypeAndNumber>מ.ר. 39746</AuthenticationTypeAndNumber>
        <RepresentatedOrRepresentativesNames>עינבר אלטיט</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260840086</CasePartyID>
        <PartyTypeID>2</PartyTypeID>
        <ActivityStatusID>1</ActivityStatusID>
        <PartyAliasID>22</PartyAliasID>
        <PartyAliasName>בא כוח מבקשים</PartyAliasName>
        <OrdinalNumber>1</OrdinalNumber>
        <LegalEntityID>409319</LegalEntityID>
        <CaseLegalEntityID>126027913</CaseLegalEntityID>
        <AuthenticationTypeID>4</AuthenticationTypeID>
        <AuthenticationTypeName>מ.ר.</AuthenticationTypeName>
        <LegalEntityNumber>39746</LegalEntityNumber>
        <IsMainPartyType>true</IsMainPartyType>
        <CaseDisplayIdentifier>47906-09-23</CaseDisplayIdentifier>
        <CaseTypeID>10074</CaseTypeID>
        <CaseTypeName>רשות ערעור משפחה (רמ"ש)</CaseTypeName>
        <CaseName>אלטיט נ' אלטיט</CaseName>
        <FullAddress>היצירה 3 רמת גן בית ש.א.פ</FullAddress>
        <MotionID>0</MotionID>
        <CasePleaID>0</CasePleaID>
        <FatherName xml:space="preserve">        </FatherName>
        <LinkedCaseID>0</LinkedCaseID>
        <PartyID>1</PartyID>
        <CasePartyCategoryID>2</CasePartyCategoryID>
        <LegalEntityAddressID>76018290</LegalEntityAddressID>
        <PleaTypeID>5</PleaTypeID>
        <GroupPartyAlias/>
        <IsConverted>false</IsConverted>
        <LegalEntityNameID>30303</LegalEntityNameID>
        <RepresentatedNamesOfAssistant/>
        <LegalEntityTypeID>4</LegalEntityTypeID>
        <IsVerdictExists>false</IsVerdictExists>
        <IsAsirAzir>false</IsAsirAzir>
        <IsPublicationProhibited>false</IsPublicationProhibited>
        <PublicationProhibitedFullName>מורן סמון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עמוס צדיקה</FullName>
        <FirstName>עמוס</FirstName>
        <LastName>צדיקה</LastName>
        <PartyPropertyName/>
        <AuthenticationTypeAndNumber>מ.ר. 21647</AuthenticationTypeAndNumber>
        <RepresentatedOrRepresentativesNames>דביר אלטיט</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260840088</CasePartyID>
        <PartyTypeID>2</PartyTypeID>
        <ActivityStatusID>1</ActivityStatusID>
        <PartyAliasID>23</PartyAliasID>
        <PartyAliasName>בא כוח משיבים</PartyAliasName>
        <OrdinalNumber>1</OrdinalNumber>
        <LegalEntityID>381819</LegalEntityID>
        <CaseLegalEntityID>126027914</CaseLegalEntityID>
        <AuthenticationTypeID>4</AuthenticationTypeID>
        <AuthenticationTypeName>מ.ר.</AuthenticationTypeName>
        <LegalEntityNumber>21647</LegalEntityNumber>
        <IsMainPartyType>true</IsMainPartyType>
        <CaseDisplayIdentifier>47906-09-23</CaseDisplayIdentifier>
        <CaseTypeID>10074</CaseTypeID>
        <CaseTypeName>רשות ערעור משפחה (רמ"ש)</CaseTypeName>
        <CaseName>אלטיט נ' אלטיט</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5</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דביר אלטיט</FullName>
        <FirstName>דביר</FirstName>
        <LastName>אלטיט</LastName>
        <PartyPropertyName/>
        <AuthenticationTypeAndNumber>ת"ז 037518701</AuthenticationTypeAndNumber>
        <RepresentatedOrRepresentativesNames>עמוס צדיקה</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260840085</CasePartyID>
        <PartyTypeID>1</PartyTypeID>
        <ActivityStatusID>1</ActivityStatusID>
        <PartyAliasID>4</PartyAliasID>
        <PartyAliasName>משיב</PartyAliasName>
        <OrdinalNumber>1</OrdinalNumber>
        <LegalEntityID>12642973</LegalEntityID>
        <CaseLegalEntityID>126027912</CaseLegalEntityID>
        <AuthenticationTypeID>1</AuthenticationTypeID>
        <AuthenticationTypeName>ת"ז</AuthenticationTypeName>
        <LegalEntityNumber>037518701</LegalEntityNumber>
        <IsMainPartyType>true</IsMainPartyType>
        <CaseDisplayIdentifier>47906-09-23</CaseDisplayIdentifier>
        <CaseTypeID>10074</CaseTypeID>
        <CaseTypeName>רשות ערעור משפחה (רמ"ש)</CaseTypeName>
        <CaseName>אלטיט נ' אלטיט</CaseName>
        <FullAddress>יותם 18 חיפה </FullAddress>
        <MotionID>0</MotionID>
        <CasePleaID>0</CasePleaID>
        <BirthDate>1975-10-21T00:00:00+02:00</BirthDate>
        <FatherName>שמעון</FatherName>
        <LinkedCaseID>0</LinkedCaseID>
        <PartyID>2</PartyID>
        <CasePartyCategoryID>2</CasePartyCategoryID>
        <LegalEntityAddressID>88435697</LegalEntityAddressID>
        <PleaTypeID>5</PleaTypeID>
        <GroupPartyAlias>משיבים</GroupPartyAlias>
        <IsConverted>false</IsConverted>
        <LegalEntityRegisteredNameID>3231568</LegalEntityRegisteredNameID>
        <LegalEntityNameID>74555786</LegalEntityNameID>
        <RepresentatedNamesOfAssistant/>
        <LegalEntityTypeID>1</LegalEntityTypeID>
        <IsVerdictExists>false</IsVerdictExists>
        <IsAsirAzir>false</IsAsirAzir>
        <IsPublicationProhibited>false</IsPublicationProhibited>
        <PublicationProhibitedFullName>דביר אלטיט</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2023-10-10T13:07:45.0719472+03:00</DecisionSignatureDate>
    <OpenCaseDate>2023-09-21T11:22:00+03:00</OpenCaseDate>
    <CaseFeeSum>0.000</CaseFeeSum>
    <DecisionTypeID>2</DecisionTypeID>
    <DecisionSignatureUserName>חננאל שרעבי</DecisionSignatureUserName>
    <DecisionSignatureDateHebrew>2023-10-10T13:07:45.0719472+03:00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אלטיט נ' אלטיט</CaseName>
    <DecisionNumberInCase>4</DecisionNumberInCase>
  </dt_Decision>
  <dt_DecisionCase>
    <DecisionID>0</DecisionID>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עינבר אלטיט</FullName>
        <FirstName>עינבר</FirstName>
        <LastName>אלטיט</LastName>
        <PartyPropertyName/>
        <AuthenticationTypeAndNumber>ת"ז 040491516</AuthenticationTypeAndNumber>
        <RepresentatedOrRepresentativesNames>מורן סמון</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260840084</CasePartyID>
        <PartyTypeID>1</PartyTypeID>
        <ActivityStatusID>1</ActivityStatusID>
        <PartyAliasID>3</PartyAliasID>
        <PartyAliasName>מבקש</PartyAliasName>
        <OrdinalNumber>1</OrdinalNumber>
        <LegalEntityID>15795396</LegalEntityID>
        <CaseLegalEntityID>126027911</CaseLegalEntityID>
        <AuthenticationTypeID>1</AuthenticationTypeID>
        <AuthenticationTypeName>ת"ז</AuthenticationTypeName>
        <LegalEntityNumber>040491516</LegalEntityNumber>
        <IsMainPartyType>true</IsMainPartyType>
        <CaseDisplayIdentifier>47906-09-23</CaseDisplayIdentifier>
        <CaseTypeID>10074</CaseTypeID>
        <CaseTypeName>רשות ערעור משפחה (רמ"ש)</CaseTypeName>
        <CaseName>אלטיט נ' אלטיט</CaseName>
        <FullAddress>שכטר 37 חיפה </FullAddress>
        <EmailAddress>inbarmakeup@walla.com</EmailAddress>
        <MotionID>0</MotionID>
        <CasePleaID>0</CasePleaID>
        <BirthDate>1980-11-05T00:00:00+02:00</BirthDate>
        <FatherName>חיים</FatherName>
        <LinkedCaseID>0</LinkedCaseID>
        <PartyID>1</PartyID>
        <CasePartyCategoryID>2</CasePartyCategoryID>
        <LegalEntityAddressID>88435691</LegalEntityAddressID>
        <LegalEntityEmailAddressID>68071721</LegalEntityEmailAddressID>
        <PleaTypeID>5</PleaTypeID>
        <GroupPartyAlias>מבקשים</GroupPartyAlias>
        <IsConverted>false</IsConverted>
        <LegalEntityRegisteredNameID>3231567</LegalEntityRegisteredNameID>
        <LegalEntityNameID>74555783</LegalEntityNameID>
        <RepresentatedNamesOfAssistant/>
        <LegalEntityTypeID>1</LegalEntityTypeID>
        <IsVerdictExists>false</IsVerdictExists>
        <IsAsirAzir>false</IsAsirAzir>
        <IsPublicationProhibited>false</IsPublicationProhibited>
        <PublicationProhibitedFullName>עינבר אלטיט</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מורן סמון</FullName>
        <FirstName>מורן</FirstName>
        <LastName>סמון</LastName>
        <PartyPropertyName/>
        <AuthenticationTypeAndNumber>מ.ר. 39746</AuthenticationTypeAndNumber>
        <RepresentatedOrRepresentativesNames>עינבר אלטיט</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260840086</CasePartyID>
        <PartyTypeID>2</PartyTypeID>
        <ActivityStatusID>1</ActivityStatusID>
        <PartyAliasID>22</PartyAliasID>
        <PartyAliasName>בא כוח מבקשים</PartyAliasName>
        <OrdinalNumber>1</OrdinalNumber>
        <LegalEntityID>409319</LegalEntityID>
        <CaseLegalEntityID>126027913</CaseLegalEntityID>
        <AuthenticationTypeID>4</AuthenticationTypeID>
        <AuthenticationTypeName>מ.ר.</AuthenticationTypeName>
        <LegalEntityNumber>39746</LegalEntityNumber>
        <IsMainPartyType>true</IsMainPartyType>
        <CaseDisplayIdentifier>47906-09-23</CaseDisplayIdentifier>
        <CaseTypeID>10074</CaseTypeID>
        <CaseTypeName>רשות ערעור משפחה (רמ"ש)</CaseTypeName>
        <CaseName>אלטיט נ' אלטיט</CaseName>
        <FullAddress>היצירה 3 רמת גן בית ש.א.פ</FullAddress>
        <MotionID>0</MotionID>
        <CasePleaID>0</CasePleaID>
        <FatherName xml:space="preserve">        </FatherName>
        <LinkedCaseID>0</LinkedCaseID>
        <PartyID>1</PartyID>
        <CasePartyCategoryID>2</CasePartyCategoryID>
        <LegalEntityAddressID>76018290</LegalEntityAddressID>
        <PleaTypeID>5</PleaTypeID>
        <GroupPartyAlias/>
        <IsConverted>false</IsConverted>
        <LegalEntityNameID>30303</LegalEntityNameID>
        <RepresentatedNamesOfAssistant/>
        <LegalEntityTypeID>4</LegalEntityTypeID>
        <IsVerdictExists>false</IsVerdictExists>
        <IsAsirAzir>false</IsAsirAzir>
        <IsPublicationProhibited>false</IsPublicationProhibited>
        <PublicationProhibitedFullName>מורן סמון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עמוס צדיקה</FullName>
        <FirstName>עמוס</FirstName>
        <LastName>צדיקה</LastName>
        <PartyPropertyName/>
        <AuthenticationTypeAndNumber>מ.ר. 21647</AuthenticationTypeAndNumber>
        <RepresentatedOrRepresentativesNames>דביר אלטיט</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260840088</CasePartyID>
        <PartyTypeID>2</PartyTypeID>
        <ActivityStatusID>1</ActivityStatusID>
        <PartyAliasID>23</PartyAliasID>
        <PartyAliasName>בא כוח משיבים</PartyAliasName>
        <OrdinalNumber>1</OrdinalNumber>
        <LegalEntityID>381819</LegalEntityID>
        <CaseLegalEntityID>126027914</CaseLegalEntityID>
        <AuthenticationTypeID>4</AuthenticationTypeID>
        <AuthenticationTypeName>מ.ר.</AuthenticationTypeName>
        <LegalEntityNumber>21647</LegalEntityNumber>
        <IsMainPartyType>true</IsMainPartyType>
        <CaseDisplayIdentifier>47906-09-23</CaseDisplayIdentifier>
        <CaseTypeID>10074</CaseTypeID>
        <CaseTypeName>רשות ערעור משפחה (רמ"ש)</CaseTypeName>
        <CaseName>אלטיט נ' אלטיט</CaseName>
        <FullAddress>פל ים 2 חיפה בנין אורן קומה 2</FullAddress>
        <EmailAddress>sadikaamos@gmail.com</EmailAddress>
        <MotionID>0</MotionID>
        <CasePleaID>0</CasePleaID>
        <FatherName xml:space="preserve">        </FatherName>
        <LinkedCaseID>0</LinkedCaseID>
        <PartyID>2</PartyID>
        <CasePartyCategoryID>2</CasePartyCategoryID>
        <LegalEntityAddressID>75738494</LegalEntityAddressID>
        <LegalEntityEmailAddressID>43827887</LegalEntityEmailAddressID>
        <PleaTypeID>5</PleaTypeID>
        <LawyerOfficeName>משרד עו"ד: עמוס צדיקה</LawyerOfficeName>
        <LawyerOfficeID>422463</LawyerOfficeID>
        <GroupPartyAlias/>
        <IsConverted>false</IsConverted>
        <LegalEntityNameID>2803</LegalEntityNameID>
        <RepresentatedNamesOfAssistant/>
        <LegalEntityTypeID>4</LegalEntityTypeID>
        <IsVerdictExists>false</IsVerdictExists>
        <IsAsirAzir>false</IsAsirAzir>
        <IsPublicationProhibited>false</IsPublicationProhibited>
        <PublicationProhibitedFullName>עמוס צדיקה</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דביר אלטיט</FullName>
        <FirstName>דביר</FirstName>
        <LastName>אלטיט</LastName>
        <PartyPropertyName/>
        <AuthenticationTypeAndNumber>ת"ז 037518701</AuthenticationTypeAndNumber>
        <RepresentatedOrRepresentativesNames>עמוס צדיקה</RepresentatedOrRepresentativesNames>
        <RepresentatedOrRepresentativesCount>1</RepresentatedOrRepresentativesCount>
        <InvitedBy/>
        <CaseID>80620791</CaseID>
        <CaseJudicialPersonPresentationDS>
          <CaseJudicalPersonActive>
            <CaseID>80620791</CaseID>
            <JudicialPersonID>056479827@GOV.IL</JudicialPersonID>
            <JudicialPersonTypeID>1</JudicialPersonTypeID>
            <JudicialTypeID>1</JudicialTypeID>
            <IsChairman>false</IsChairman>
            <TreatmentStartDate>2023-09-21T12:52:16.323+03:00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260840085</CasePartyID>
        <PartyTypeID>1</PartyTypeID>
        <ActivityStatusID>1</ActivityStatusID>
        <PartyAliasID>4</PartyAliasID>
        <PartyAliasName>משיב</PartyAliasName>
        <OrdinalNumber>1</OrdinalNumber>
        <LegalEntityID>12642973</LegalEntityID>
        <CaseLegalEntityID>126027912</CaseLegalEntityID>
        <AuthenticationTypeID>1</AuthenticationTypeID>
        <AuthenticationTypeName>ת"ז</AuthenticationTypeName>
        <LegalEntityNumber>037518701</LegalEntityNumber>
        <IsMainPartyType>true</IsMainPartyType>
        <CaseDisplayIdentifier>47906-09-23</CaseDisplayIdentifier>
        <CaseTypeID>10074</CaseTypeID>
        <CaseTypeName>רשות ערעור משפחה (רמ"ש)</CaseTypeName>
        <CaseName>אלטיט נ' אלטיט</CaseName>
        <FullAddress>יותם 18 חיפה </FullAddress>
        <MotionID>0</MotionID>
        <CasePleaID>0</CasePleaID>
        <BirthDate>1975-10-21T00:00:00+02:00</BirthDate>
        <FatherName>שמעון</FatherName>
        <LinkedCaseID>0</LinkedCaseID>
        <PartyID>2</PartyID>
        <CasePartyCategoryID>2</CasePartyCategoryID>
        <LegalEntityAddressID>88435697</LegalEntityAddressID>
        <PleaTypeID>5</PleaTypeID>
        <GroupPartyAlias>משיבים</GroupPartyAlias>
        <IsConverted>false</IsConverted>
        <LegalEntityRegisteredNameID>3231568</LegalEntityRegisteredNameID>
        <LegalEntityNameID>74555786</LegalEntityNameID>
        <RepresentatedNamesOfAssistant/>
        <LegalEntityTypeID>1</LegalEntityTypeID>
        <IsVerdictExists>false</IsVerdictExists>
        <IsAsirAzir>false</IsAsirAzir>
        <IsPublicationProhibited>false</IsPublicationProhibited>
        <PublicationProhibitedFullName>דביר אלטיט</PublicationProhibitedFullName>
      </CaseParties>
    </CasePartiesSelectionDS>
    <CaseName>אלטיט נ' אלטיט</CaseName>
    <CaseDisplayIdentifier>47906-09-23</CaseDisplayIdentifier>
    <CaseInterestID>10508</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שכטר 37 </StreetName>
    <CityName>חיפה</CityName>
    <FullName>עינבר                אלטיט               </FullName>
    <Email>inbarmakeup@walla.com</Email>
    <IsPublicationProhibited>false</IsPublicationProhibited>
  </dt_LegalEntityDetails>
  <dt_LegalEntityDetails>
    <PartyID>2</PartyID>
    <PartyTypeID>1</PartyTypeID>
    <DecisionID>0</DecisionID>
    <StreetName>יותם 18 </StreetName>
    <CityName>חיפה</CityName>
    <FullName>דביר                 אלטיט               </FullName>
    <IsPublicationProhibited>false</IsPublicationProhibited>
  </dt_LegalEntityDetails>
  <dt_LegalEntityDetails>
    <Fax>03-5662261</Fax>
    <Phone>03-5662260</Phone>
    <AddressDesc>בית ש.א.פ </AddressDesc>
    <PartyID>1</PartyID>
    <PartyTypeID>2</PartyTypeID>
    <DecisionID>0</DecisionID>
    <StreetName>היצירה 3</StreetName>
    <ZipCode>52521</ZipCode>
    <CityName>רמת גן</CityName>
    <FullName>מורן סמון</FullName>
    <Email>office@getonline.co.il</Email>
    <IsPublicationProhibited>false</IsPublicationProhibited>
  </dt_LegalEntityDetails>
  <dt_LegalEntityDetails>
    <Fax>04-8628556</Fax>
    <Phone>04-8670680</Phone>
    <AddressDesc>בנין אורן קומה 2</AddressDesc>
    <PartyID>2</PartyID>
    <PartyTypeID>2</PartyTypeID>
    <DecisionID>0</DecisionID>
    <StreetName>פל ים 2</StreetName>
    <ZipCode>33095</ZipCode>
    <CityName>חיפה</CityName>
    <FullName>עמוס צדיקה</FullName>
    <Email>sadikaamos@gmail.com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A9AA8-F156-433C-84C4-41C5B88207C9}">
  <ds:schemaRefs/>
</ds:datastoreItem>
</file>

<file path=customXml/itemProps2.xml><?xml version="1.0" encoding="utf-8"?>
<ds:datastoreItem xmlns:ds="http://schemas.openxmlformats.org/officeDocument/2006/customXml" ds:itemID="{B349E324-A2DF-4574-BAD3-4E4EB0E0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1918</Words>
  <Characters>9591</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2023-10-22T05:50:00Z</dcterms:created>
  <dcterms:modified xsi:type="dcterms:W3CDTF">2023-10-22T05:50:00Z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416a972e870526afb843378ffac18d7ac4cbea321e46d36b004f97b7b3e6e6ab</vt:lpwstr>
  </property>
</Properties>
</file>